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E828" w14:textId="73978190" w:rsidR="00A23F87" w:rsidRPr="00981AF3" w:rsidRDefault="0091398C" w:rsidP="00A23F87">
      <w:pPr>
        <w:pStyle w:val="Nadpis2"/>
        <w:rPr>
          <w:rStyle w:val="Siln"/>
          <w:rFonts w:ascii="Inter" w:hAnsi="Inter"/>
          <w:b/>
          <w:bCs/>
          <w:color w:val="auto"/>
          <w:lang w:val="en-US"/>
        </w:rPr>
      </w:pPr>
      <w:r>
        <w:rPr>
          <w:rFonts w:ascii="Inter" w:hAnsi="Inter"/>
          <w:color w:val="auto"/>
        </w:rPr>
        <w:t>Silný</w:t>
      </w:r>
      <w:r>
        <w:rPr>
          <w:rFonts w:ascii="Inter" w:hAnsi="Inter"/>
          <w:color w:val="auto"/>
        </w:rPr>
        <w:t xml:space="preserve"> </w:t>
      </w:r>
      <w:r w:rsidR="009C1ECF">
        <w:rPr>
          <w:rFonts w:ascii="Inter" w:hAnsi="Inter"/>
          <w:color w:val="auto"/>
        </w:rPr>
        <w:t>provozní výsledek a solidní výkonnost v oblasti rizik</w:t>
      </w:r>
    </w:p>
    <w:p w14:paraId="3EEA41A4" w14:textId="77777777" w:rsidR="00A23F87" w:rsidRPr="00981AF3" w:rsidRDefault="00A23F87" w:rsidP="00A23F87">
      <w:pPr>
        <w:rPr>
          <w:rFonts w:ascii="Inter" w:hAnsi="Inter"/>
          <w:highlight w:val="yellow"/>
          <w:lang w:val="en-US"/>
        </w:rPr>
      </w:pPr>
    </w:p>
    <w:p w14:paraId="3D508F0C" w14:textId="74E21ACD" w:rsidR="00EA748E" w:rsidRPr="002F2191" w:rsidRDefault="00EA748E" w:rsidP="00EA748E">
      <w:pPr>
        <w:pStyle w:val="Odstavecseseznamem"/>
        <w:rPr>
          <w:rFonts w:ascii="Inter" w:hAnsi="Inter"/>
          <w:lang w:val="en-US"/>
        </w:rPr>
      </w:pPr>
      <w:r w:rsidRPr="007B0952">
        <w:rPr>
          <w:rFonts w:ascii="Inter" w:hAnsi="Inter"/>
        </w:rPr>
        <w:t xml:space="preserve">Rostoucí objemy klientských úvěrů (+2,0 %) navzdory makroekonomickému </w:t>
      </w:r>
      <w:r w:rsidR="0091398C">
        <w:rPr>
          <w:rFonts w:ascii="Inter" w:hAnsi="Inter"/>
        </w:rPr>
        <w:t>útlumu</w:t>
      </w:r>
    </w:p>
    <w:p w14:paraId="568C86FD" w14:textId="3CCB67CD" w:rsidR="00EA748E" w:rsidRPr="002F2191" w:rsidRDefault="00FF6A8A" w:rsidP="00EA748E">
      <w:pPr>
        <w:pStyle w:val="Odstavecseseznamem"/>
        <w:rPr>
          <w:rFonts w:ascii="Inter" w:hAnsi="Inter"/>
          <w:lang w:val="en-US"/>
        </w:rPr>
      </w:pPr>
      <w:r>
        <w:rPr>
          <w:rFonts w:ascii="Inter" w:hAnsi="Inter"/>
        </w:rPr>
        <w:t xml:space="preserve">Velmi stabilní </w:t>
      </w:r>
      <w:r w:rsidR="0091398C">
        <w:rPr>
          <w:rFonts w:ascii="Inter" w:hAnsi="Inter"/>
        </w:rPr>
        <w:t xml:space="preserve">depozitní </w:t>
      </w:r>
      <w:r>
        <w:rPr>
          <w:rFonts w:ascii="Inter" w:hAnsi="Inter"/>
        </w:rPr>
        <w:t>základna</w:t>
      </w:r>
    </w:p>
    <w:p w14:paraId="68238AA0" w14:textId="77777777" w:rsidR="00EA748E" w:rsidRPr="002F2191" w:rsidRDefault="00EA748E" w:rsidP="00EA748E">
      <w:pPr>
        <w:pStyle w:val="Odstavecseseznamem"/>
        <w:rPr>
          <w:rFonts w:ascii="Inter" w:hAnsi="Inter"/>
          <w:lang w:val="en-US"/>
        </w:rPr>
      </w:pPr>
      <w:r>
        <w:rPr>
          <w:rFonts w:ascii="Inter" w:hAnsi="Inter"/>
        </w:rPr>
        <w:t>Podíl nesplácených úvěrů zůstává na nízké úrovni 2,0 %</w:t>
      </w:r>
    </w:p>
    <w:p w14:paraId="3689F97D" w14:textId="4E9E6FE0" w:rsidR="00EA748E" w:rsidRDefault="00EA748E" w:rsidP="00EA748E">
      <w:pPr>
        <w:pStyle w:val="Odstavecseseznamem"/>
        <w:rPr>
          <w:rFonts w:ascii="Inter" w:hAnsi="Inter"/>
          <w:lang w:val="en-US"/>
        </w:rPr>
      </w:pPr>
      <w:r>
        <w:rPr>
          <w:rFonts w:ascii="Inter" w:hAnsi="Inter"/>
        </w:rPr>
        <w:t>Silná kapitalizace: poměr CET1 na úrovni 14,5 %</w:t>
      </w:r>
    </w:p>
    <w:p w14:paraId="5620CD4B" w14:textId="77777777" w:rsidR="00A23F87" w:rsidRPr="00EA748E" w:rsidRDefault="00A23F87" w:rsidP="00A23F87">
      <w:pPr>
        <w:rPr>
          <w:rFonts w:ascii="Inter" w:hAnsi="Inter"/>
          <w:highlight w:val="yellow"/>
          <w:lang w:val="en-US"/>
        </w:rPr>
      </w:pPr>
    </w:p>
    <w:p w14:paraId="38D3A746" w14:textId="3DD32DA5" w:rsidR="00A73770" w:rsidRPr="00CD1C04" w:rsidRDefault="00A73770" w:rsidP="00A73770">
      <w:pPr>
        <w:spacing w:line="280" w:lineRule="exact"/>
        <w:rPr>
          <w:rFonts w:ascii="Inter" w:hAnsi="Inter"/>
          <w:b/>
          <w:lang w:val="en-US"/>
        </w:rPr>
      </w:pPr>
      <w:r w:rsidRPr="006B29A8">
        <w:rPr>
          <w:rFonts w:ascii="Inter" w:hAnsi="Inter"/>
          <w:b/>
        </w:rPr>
        <w:t>Výsledky Erste Group Bank AG za prvních devět měsíců roku 2023 jsou charakterizovány výrazným nárůstem provozní</w:t>
      </w:r>
      <w:r w:rsidR="0091398C">
        <w:rPr>
          <w:rFonts w:ascii="Inter" w:hAnsi="Inter"/>
          <w:b/>
        </w:rPr>
        <w:t>ch</w:t>
      </w:r>
      <w:r w:rsidRPr="006B29A8">
        <w:rPr>
          <w:rFonts w:ascii="Inter" w:hAnsi="Inter"/>
          <w:b/>
        </w:rPr>
        <w:t xml:space="preserve"> </w:t>
      </w:r>
      <w:r w:rsidR="0091398C">
        <w:rPr>
          <w:rFonts w:ascii="Inter" w:hAnsi="Inter"/>
          <w:b/>
        </w:rPr>
        <w:t>obchodních výsledků</w:t>
      </w:r>
      <w:r w:rsidRPr="006B29A8">
        <w:rPr>
          <w:rFonts w:ascii="Inter" w:hAnsi="Inter"/>
          <w:b/>
        </w:rPr>
        <w:t xml:space="preserve">. Objem klientských úvěrů se v průběhu roku zvýšil o dvě procenta, a to především díky novým úvěrům v segmentu firemních zákazníků. Vklady klientů rostly </w:t>
      </w:r>
      <w:r w:rsidR="0091398C">
        <w:rPr>
          <w:rFonts w:ascii="Inter" w:hAnsi="Inter"/>
          <w:b/>
        </w:rPr>
        <w:t>ještě výrazněji</w:t>
      </w:r>
      <w:r w:rsidRPr="006B29A8">
        <w:rPr>
          <w:rFonts w:ascii="Inter" w:hAnsi="Inter"/>
          <w:b/>
        </w:rPr>
        <w:t xml:space="preserve">, meziročně vzrostly o 5,3 procenta. </w:t>
      </w:r>
      <w:r w:rsidR="0091398C">
        <w:rPr>
          <w:rFonts w:ascii="Inter" w:hAnsi="Inter"/>
          <w:b/>
        </w:rPr>
        <w:t>Množství</w:t>
      </w:r>
      <w:r w:rsidR="0091398C" w:rsidRPr="006B29A8">
        <w:rPr>
          <w:rFonts w:ascii="Inter" w:hAnsi="Inter"/>
          <w:b/>
        </w:rPr>
        <w:t xml:space="preserve"> </w:t>
      </w:r>
      <w:r w:rsidR="0091398C">
        <w:rPr>
          <w:rFonts w:ascii="Inter" w:hAnsi="Inter"/>
          <w:b/>
        </w:rPr>
        <w:t xml:space="preserve">investic do </w:t>
      </w:r>
      <w:r w:rsidRPr="006B29A8">
        <w:rPr>
          <w:rFonts w:ascii="Inter" w:hAnsi="Inter"/>
          <w:b/>
        </w:rPr>
        <w:t xml:space="preserve">cenných papírů se meziročně zvýšil o pětinu, a to i přes náročné prostředí na akciovém trhu. Výrazně se také zvýšilo využívání digitálních kanálů </w:t>
      </w:r>
      <w:r w:rsidR="0091398C">
        <w:rPr>
          <w:rFonts w:ascii="Inter" w:hAnsi="Inter"/>
          <w:b/>
        </w:rPr>
        <w:t xml:space="preserve">ze strany </w:t>
      </w:r>
      <w:r w:rsidRPr="006B29A8">
        <w:rPr>
          <w:rFonts w:ascii="Inter" w:hAnsi="Inter"/>
          <w:b/>
        </w:rPr>
        <w:t>zákazník</w:t>
      </w:r>
      <w:r w:rsidR="0091398C">
        <w:rPr>
          <w:rFonts w:ascii="Inter" w:hAnsi="Inter"/>
          <w:b/>
        </w:rPr>
        <w:t>ů</w:t>
      </w:r>
      <w:r w:rsidRPr="006B29A8">
        <w:rPr>
          <w:rFonts w:ascii="Inter" w:hAnsi="Inter"/>
          <w:b/>
        </w:rPr>
        <w:t>: George má nyní v celé skupině 9,5 milionu uživatelů a digitální podíl na celkových prodejích produktů je více než třetinový.</w:t>
      </w:r>
    </w:p>
    <w:p w14:paraId="048FE7AD" w14:textId="5B364B02" w:rsidR="003112DE" w:rsidRPr="00A85FA9" w:rsidRDefault="003112DE" w:rsidP="00A73770">
      <w:pPr>
        <w:spacing w:line="280" w:lineRule="exact"/>
        <w:rPr>
          <w:rFonts w:ascii="Inter" w:hAnsi="Inter"/>
          <w:b/>
          <w:lang w:val="en-US"/>
        </w:rPr>
      </w:pPr>
      <w:r w:rsidRPr="00A85FA9">
        <w:rPr>
          <w:rFonts w:ascii="Inter" w:hAnsi="Inter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E46657" wp14:editId="55FCF562">
                <wp:simplePos x="0" y="0"/>
                <wp:positionH relativeFrom="margin">
                  <wp:posOffset>60325</wp:posOffset>
                </wp:positionH>
                <wp:positionV relativeFrom="paragraph">
                  <wp:posOffset>207645</wp:posOffset>
                </wp:positionV>
                <wp:extent cx="5744845" cy="2468880"/>
                <wp:effectExtent l="12700" t="12700" r="8255" b="7620"/>
                <wp:wrapTopAndBottom/>
                <wp:docPr id="605" name="Rounded 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2468880"/>
                        </a:xfrm>
                        <a:prstGeom prst="roundRect">
                          <a:avLst>
                            <a:gd name="adj" fmla="val 19898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E8961" w14:textId="5C52FE8B" w:rsidR="003112DE" w:rsidRDefault="003112DE" w:rsidP="003112DE">
                            <w:pPr>
                              <w:spacing w:line="280" w:lineRule="exact"/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"Celko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vé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ekonomick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é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podmínky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se v průběhu roku výrazně zhoršil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. Přesto se nám v uplynulých devíti měsících podařilo objem úvěrů navýšit. Kvalita našeho úvěrového portfolia zůstává vynikající a podíl nesplácených úvěrů je na trzích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, na kterých jsme aktivní,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historicky nízký, pohybuje se kolem dvou procent. Naše silná kapitalizace, dobrá výkonnost v oblasti rizik a pokračující nákladová disciplína zajišťují, že úspěšně čelíme výzvám a využíváme příležitosti, které 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jsou před námi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," </w:t>
                            </w:r>
                            <w:r>
                              <w:rPr>
                                <w:rFonts w:ascii="Inter" w:hAnsi="Inter"/>
                                <w:color w:val="000000" w:themeColor="text1"/>
                              </w:rPr>
                              <w:t xml:space="preserve">řekl 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color w:val="000000" w:themeColor="text1"/>
                              </w:rPr>
                              <w:t>Willi Cernko</w:t>
                            </w:r>
                            <w:r w:rsidRPr="00711D5D">
                              <w:rPr>
                                <w:rFonts w:ascii="Inter" w:hAnsi="Inter"/>
                                <w:color w:val="000000" w:themeColor="text1"/>
                              </w:rPr>
                              <w:t>, generální ředitel Erste Group.</w:t>
                            </w:r>
                          </w:p>
                          <w:p w14:paraId="5CB91EB6" w14:textId="77777777" w:rsidR="003112DE" w:rsidRDefault="003112DE" w:rsidP="003112DE">
                            <w:pPr>
                              <w:spacing w:line="280" w:lineRule="exact"/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66D21222" w14:textId="76FC0831" w:rsidR="003112DE" w:rsidRPr="003112DE" w:rsidRDefault="003112DE" w:rsidP="003112DE">
                            <w:pPr>
                              <w:rPr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"Za prvních devět měsíců roku 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jsm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e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vykázali</w:t>
                            </w:r>
                            <w:r w:rsidR="0091398C"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Inter" w:hAnsi="Inter"/>
                                <w:i/>
                                <w:iCs/>
                                <w:color w:val="000000" w:themeColor="text1"/>
                              </w:rPr>
                              <w:t>silný provozní výsledek. To lze přičíst zvýšenému objemu úvěrů při vyšších úrokových sazbách. Zároveň se nám podařilo dosáhnout výrazného růstu čistých výnosů z poplatků a provizí v souladu s našimi strategickými cíli,"</w:t>
                            </w:r>
                            <w:r>
                              <w:rPr>
                                <w:rFonts w:ascii="Inter" w:hAnsi="Inter"/>
                                <w:color w:val="000000" w:themeColor="text1"/>
                              </w:rPr>
                              <w:t xml:space="preserve"> uvedl 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color w:val="000000" w:themeColor="text1"/>
                              </w:rPr>
                              <w:t>Stefan Dörfler</w:t>
                            </w:r>
                            <w:r w:rsidRPr="00711D5D">
                              <w:rPr>
                                <w:rFonts w:ascii="Inter" w:hAnsi="Inter"/>
                                <w:color w:val="000000" w:themeColor="text1"/>
                              </w:rPr>
                              <w:t>, finanční ředitel Erste Group.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6657" id="Rounded Rectangle 605" o:spid="_x0000_s1026" style="position:absolute;margin-left:4.75pt;margin-top:16.35pt;width:452.35pt;height:19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0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" filled="f" strokecolor="#2870ed" strokeweight="1.5pt">
                <v:stroke joinstyle="miter"/>
                <v:textbox inset="5mm,,5mm">
                  <w:txbxContent>
                    <w:p w14:paraId="240E8961" w14:textId="5C52FE8B" w:rsidR="003112DE" w:rsidRDefault="003112DE" w:rsidP="003112DE">
                      <w:pPr>
                        <w:spacing w:line="280" w:lineRule="exact"/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"Celko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vé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ekonomick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é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podmínky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se v průběhu roku výrazně zhoršil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. Přesto se nám v uplynulých devíti měsících podařilo objem úvěrů navýšit. Kvalita našeho úvěrového portfolia zůstává vynikající a podíl nesplácených úvěrů je na trzích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, na kterých jsme aktivní,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historicky nízký, pohybuje se kolem dvou procent. Naše silná kapitalizace, dobrá výkonnost v oblasti rizik a pokračující nákladová disciplína zajišťují, že úspěšně čelíme výzvám a využíváme příležitosti, které 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jsou před námi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," </w:t>
                      </w:r>
                      <w:r>
                        <w:rPr>
                          <w:rFonts w:ascii="Inter" w:hAnsi="Inter"/>
                          <w:color w:val="000000" w:themeColor="text1"/>
                        </w:rPr>
                        <w:t xml:space="preserve">řekl </w:t>
                      </w:r>
                      <w:r>
                        <w:rPr>
                          <w:rFonts w:ascii="Inter" w:hAnsi="Inter"/>
                          <w:b/>
                          <w:bCs/>
                          <w:color w:val="000000" w:themeColor="text1"/>
                        </w:rPr>
                        <w:t>Willi Cernko</w:t>
                      </w:r>
                      <w:r w:rsidRPr="00711D5D">
                        <w:rPr>
                          <w:rFonts w:ascii="Inter" w:hAnsi="Inter"/>
                          <w:color w:val="000000" w:themeColor="text1"/>
                        </w:rPr>
                        <w:t>, generální ředitel Erste Group.</w:t>
                      </w:r>
                    </w:p>
                    <w:p w14:paraId="5CB91EB6" w14:textId="77777777" w:rsidR="003112DE" w:rsidRDefault="003112DE" w:rsidP="003112DE">
                      <w:pPr>
                        <w:spacing w:line="280" w:lineRule="exact"/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</w:p>
                    <w:p w14:paraId="66D21222" w14:textId="76FC0831" w:rsidR="003112DE" w:rsidRPr="003112DE" w:rsidRDefault="003112DE" w:rsidP="003112DE">
                      <w:pPr>
                        <w:rPr>
                          <w:rFonts w:ascii="Inter" w:hAnsi="Inter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"Za prvních devět měsíců roku 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jsm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e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vykázali</w:t>
                      </w:r>
                      <w:r w:rsidR="0091398C"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Inter" w:hAnsi="Inter"/>
                          <w:i/>
                          <w:iCs/>
                          <w:color w:val="000000" w:themeColor="text1"/>
                        </w:rPr>
                        <w:t>silný provozní výsledek. To lze přičíst zvýšenému objemu úvěrů při vyšších úrokových sazbách. Zároveň se nám podařilo dosáhnout výrazného růstu čistých výnosů z poplatků a provizí v souladu s našimi strategickými cíli,"</w:t>
                      </w:r>
                      <w:r>
                        <w:rPr>
                          <w:rFonts w:ascii="Inter" w:hAnsi="Inter"/>
                          <w:color w:val="000000" w:themeColor="text1"/>
                        </w:rPr>
                        <w:t xml:space="preserve"> uvedl </w:t>
                      </w:r>
                      <w:r>
                        <w:rPr>
                          <w:rFonts w:ascii="Inter" w:hAnsi="Inter"/>
                          <w:b/>
                          <w:bCs/>
                          <w:color w:val="000000" w:themeColor="text1"/>
                        </w:rPr>
                        <w:t>Stefan Dörfler</w:t>
                      </w:r>
                      <w:r w:rsidRPr="00711D5D">
                        <w:rPr>
                          <w:rFonts w:ascii="Inter" w:hAnsi="Inter"/>
                          <w:color w:val="000000" w:themeColor="text1"/>
                        </w:rPr>
                        <w:t>, finanční ředitel Erste Group.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10C461B2" w14:textId="307AFF7F" w:rsidR="00702E66" w:rsidRDefault="00702E66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0E9AEEAA" w14:textId="77777777" w:rsidR="003112DE" w:rsidRDefault="003112DE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693BFFF4" w14:textId="32E27FA8" w:rsidR="00A23F87" w:rsidRPr="00EA748E" w:rsidRDefault="00802339" w:rsidP="00A23F87">
      <w:pPr>
        <w:pStyle w:val="Bezmezer"/>
        <w:spacing w:line="280" w:lineRule="exact"/>
        <w:rPr>
          <w:rFonts w:ascii="Inter" w:eastAsiaTheme="majorEastAsia" w:hAnsi="Inter" w:cstheme="majorBidi"/>
          <w:noProof/>
          <w:color w:val="2870ED"/>
          <w:sz w:val="16"/>
          <w:szCs w:val="16"/>
          <w:shd w:val="clear" w:color="auto" w:fill="FFFFFF"/>
          <w:lang w:val="en-US" w:eastAsia="de-DE"/>
        </w:rPr>
      </w:pPr>
      <w:r w:rsidRPr="00EA748E">
        <w:rPr>
          <w:rFonts w:ascii="Inter" w:eastAsiaTheme="majorEastAsia" w:hAnsi="Inter" w:cstheme="majorBidi"/>
          <w:noProof/>
          <w:color w:val="2870ED"/>
          <w:sz w:val="16"/>
          <w:szCs w:val="16"/>
          <w:shd w:val="clear" w:color="auto" w:fill="FFFFFF"/>
          <w:lang w:eastAsia="de-DE"/>
        </w:rPr>
        <w:t>Finanční výsledky za leden až září 2023 jsou porovnány s výsledky za leden až září 2022 a bilanční pozice k 30. září 2023 s výsledky k 31. prosinci 2022</w:t>
      </w:r>
    </w:p>
    <w:p w14:paraId="0617B0F9" w14:textId="77777777" w:rsidR="00496395" w:rsidRPr="00496395" w:rsidRDefault="00496395" w:rsidP="00496395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3DCB12A9" w14:textId="3C862749" w:rsidR="00B07936" w:rsidRPr="00EA748E" w:rsidRDefault="00774DE8" w:rsidP="00B07936">
      <w:pPr>
        <w:pStyle w:val="Nadpis4"/>
        <w:rPr>
          <w:rFonts w:ascii="Inter" w:hAnsi="Inter"/>
          <w:color w:val="auto"/>
          <w:highlight w:val="yellow"/>
          <w:lang w:val="en-US"/>
        </w:rPr>
      </w:pPr>
      <w:r>
        <w:rPr>
          <w:rFonts w:ascii="Inter" w:hAnsi="Inter"/>
          <w:color w:val="auto"/>
        </w:rPr>
        <w:t>Zisk vzrostl díky vyšším čistým úrokovým výnosům</w:t>
      </w:r>
      <w:r w:rsidR="0091398C">
        <w:rPr>
          <w:rFonts w:ascii="Inter" w:hAnsi="Inter"/>
          <w:color w:val="auto"/>
        </w:rPr>
        <w:t>. Navýšil</w:t>
      </w:r>
      <w:r>
        <w:rPr>
          <w:rFonts w:ascii="Inter" w:hAnsi="Inter"/>
          <w:color w:val="auto"/>
        </w:rPr>
        <w:t xml:space="preserve"> </w:t>
      </w:r>
      <w:r w:rsidR="0091398C">
        <w:rPr>
          <w:rFonts w:ascii="Inter" w:hAnsi="Inter"/>
          <w:color w:val="auto"/>
        </w:rPr>
        <w:t xml:space="preserve">se </w:t>
      </w:r>
      <w:r>
        <w:rPr>
          <w:rFonts w:ascii="Inter" w:hAnsi="Inter"/>
          <w:color w:val="auto"/>
        </w:rPr>
        <w:t xml:space="preserve">čistý </w:t>
      </w:r>
      <w:r w:rsidR="0091398C">
        <w:rPr>
          <w:rFonts w:ascii="Inter" w:hAnsi="Inter"/>
          <w:color w:val="auto"/>
        </w:rPr>
        <w:t>zisk z poplatků a provizí</w:t>
      </w:r>
    </w:p>
    <w:p w14:paraId="02997C3F" w14:textId="019DFD28" w:rsidR="00B07936" w:rsidRPr="003B0549" w:rsidRDefault="00EC646B" w:rsidP="00B07936">
      <w:pPr>
        <w:spacing w:line="280" w:lineRule="exact"/>
        <w:rPr>
          <w:rFonts w:ascii="Inter" w:hAnsi="Inter"/>
          <w:highlight w:val="yellow"/>
          <w:lang w:val="en-US"/>
        </w:rPr>
      </w:pPr>
      <w:r w:rsidRPr="00EC646B">
        <w:rPr>
          <w:rFonts w:ascii="Inter" w:hAnsi="Inter"/>
          <w:b/>
        </w:rPr>
        <w:t>Čisté úrokové výnosy</w:t>
      </w:r>
      <w:r w:rsidRPr="00EC646B">
        <w:rPr>
          <w:rFonts w:ascii="Inter" w:hAnsi="Inter"/>
        </w:rPr>
        <w:t xml:space="preserve"> výrazně vzrostly na 5 422,3 milionu eur (+23,7 %; 4 385,2 mil. EUR), nejvýrazněji v Rakousku, a to díky vyšším tržním úrokovým sazbám a většímu objemu úvěrů. </w:t>
      </w:r>
      <w:r w:rsidRPr="00EC646B">
        <w:rPr>
          <w:rFonts w:ascii="Inter" w:hAnsi="Inter"/>
          <w:b/>
        </w:rPr>
        <w:t>Čisté výnosy z poplatků a provizí</w:t>
      </w:r>
      <w:r w:rsidRPr="00EC646B">
        <w:rPr>
          <w:rFonts w:ascii="Inter" w:hAnsi="Inter"/>
        </w:rPr>
        <w:t xml:space="preserve"> vzrostly na 1 937,6 milionu eur (+5,9 %; 1 829,9 milionu EUR). Růst byl zaznamenán na všech hlavních trzích, zejména v oblasti platebních služeb, ale také v oblasti správy aktiv. </w:t>
      </w:r>
      <w:r w:rsidRPr="00EC646B">
        <w:rPr>
          <w:rFonts w:ascii="Inter" w:hAnsi="Inter"/>
          <w:b/>
        </w:rPr>
        <w:t>Čistý výsledek obchodování</w:t>
      </w:r>
      <w:r w:rsidRPr="00EC646B">
        <w:rPr>
          <w:rFonts w:ascii="Inter" w:hAnsi="Inter"/>
        </w:rPr>
        <w:t xml:space="preserve"> se zlepšil na 337,4 milionu EUR (-848,5 milionu EUR); zisky/ztráty z finančních nástrojů oceněné reálnou hodnotou do zisku </w:t>
      </w:r>
      <w:r w:rsidRPr="00EC646B">
        <w:rPr>
          <w:rFonts w:ascii="Inter" w:hAnsi="Inter"/>
        </w:rPr>
        <w:lastRenderedPageBreak/>
        <w:t>nebo ztráty</w:t>
      </w:r>
      <w:r w:rsidRPr="00EC646B">
        <w:rPr>
          <w:rFonts w:ascii="Inter" w:hAnsi="Inter"/>
          <w:b/>
        </w:rPr>
        <w:t xml:space="preserve"> poklesly  na -17,7 milionu EUR (743,3 milionu EUR </w:t>
      </w:r>
      <w:r w:rsidRPr="00EC646B">
        <w:rPr>
          <w:rFonts w:ascii="Inter" w:hAnsi="Inter"/>
        </w:rPr>
        <w:t xml:space="preserve"> ). Vývoj těchto dvou položek lze z velké části připsat vlivům ocenění. </w:t>
      </w:r>
      <w:r w:rsidRPr="003B0549">
        <w:rPr>
          <w:rFonts w:ascii="Inter" w:hAnsi="Inter"/>
          <w:b/>
        </w:rPr>
        <w:t>Provozní výnosy</w:t>
      </w:r>
      <w:r w:rsidRPr="003B0549">
        <w:rPr>
          <w:rFonts w:ascii="Inter" w:hAnsi="Inter"/>
        </w:rPr>
        <w:t xml:space="preserve"> vzrostly na 7 852,8 mil. eur (+25,2 %; 6 270,7 milionu EUR).</w:t>
      </w:r>
    </w:p>
    <w:p w14:paraId="7A2D9E60" w14:textId="77777777" w:rsidR="00EC646B" w:rsidRPr="003B0549" w:rsidRDefault="00EC646B" w:rsidP="00B07936">
      <w:pPr>
        <w:spacing w:line="280" w:lineRule="exact"/>
        <w:rPr>
          <w:rFonts w:ascii="Inter" w:hAnsi="Inter"/>
          <w:highlight w:val="yellow"/>
          <w:lang w:val="en-US"/>
        </w:rPr>
      </w:pPr>
    </w:p>
    <w:p w14:paraId="554036F5" w14:textId="693B2BF2" w:rsidR="00B07936" w:rsidRPr="00AB6A13" w:rsidRDefault="00D81B34" w:rsidP="00B07936">
      <w:pPr>
        <w:pStyle w:val="Nadpis4"/>
        <w:rPr>
          <w:rFonts w:ascii="Inter" w:hAnsi="Inter"/>
          <w:color w:val="auto"/>
          <w:highlight w:val="yellow"/>
          <w:lang w:val="en-US"/>
        </w:rPr>
      </w:pPr>
      <w:r>
        <w:rPr>
          <w:rFonts w:ascii="Inter" w:hAnsi="Inter"/>
          <w:color w:val="auto"/>
        </w:rPr>
        <w:t>Poměr nákladů a výnosů se zlepšil na 46,8 %, což odráží růst provozního výsledku</w:t>
      </w:r>
    </w:p>
    <w:p w14:paraId="073D5E9C" w14:textId="0611E7BB" w:rsidR="002A5604" w:rsidRPr="008A3853" w:rsidRDefault="002A5604" w:rsidP="008A3853">
      <w:pPr>
        <w:spacing w:line="280" w:lineRule="exact"/>
        <w:rPr>
          <w:rFonts w:ascii="Inter" w:hAnsi="Inter"/>
          <w:lang w:val="en-US"/>
        </w:rPr>
      </w:pPr>
      <w:r w:rsidRPr="008A3853">
        <w:rPr>
          <w:rFonts w:ascii="Inter" w:hAnsi="Inter"/>
          <w:b/>
        </w:rPr>
        <w:t>Všeobecné administrativní náklady</w:t>
      </w:r>
      <w:r w:rsidRPr="008A3853">
        <w:rPr>
          <w:rFonts w:ascii="Inter" w:hAnsi="Inter"/>
        </w:rPr>
        <w:t xml:space="preserve"> vzrostly na 3 674,6 mil. EUR (+8,7 %; 3 381,3 milionu EUR). Osobní náklady vzrostly na 2 195,4 mil. eur (+11,6 %; 1 967,2 mil. EUR) v důsledku zvýšení mezd. Nárůst ostatních administrativních nákladů na 1 062,0 mil. EUR (+5,8 %; 1 003,4 mil. EUR) byl způsoben především vyššími výdaji na IT a marketing. Příspěvky do systémů pojištění vkladů zahrnuté do ostatních správních nákladů, které již byly předem vykázány za celý rok 2023, se snížily na 119,0 mil. EUR (158,4 mil. EUR); zejména v Maďarsku (kde ve srovnatelném období roku 2022 vedl</w:t>
      </w:r>
      <w:r w:rsidR="0091398C">
        <w:rPr>
          <w:rFonts w:ascii="Inter" w:hAnsi="Inter"/>
        </w:rPr>
        <w:t>p čerpání</w:t>
      </w:r>
      <w:r w:rsidRPr="008A3853">
        <w:rPr>
          <w:rFonts w:ascii="Inter" w:hAnsi="Inter"/>
        </w:rPr>
        <w:t xml:space="preserve">pojištění vkladů Sberbank Europe k vyšším nákladům). </w:t>
      </w:r>
      <w:r w:rsidR="0091398C">
        <w:rPr>
          <w:rFonts w:ascii="Inter" w:hAnsi="Inter"/>
        </w:rPr>
        <w:t>Amortizace</w:t>
      </w:r>
      <w:r w:rsidR="0091398C" w:rsidRPr="008A3853">
        <w:rPr>
          <w:rFonts w:ascii="Inter" w:hAnsi="Inter"/>
        </w:rPr>
        <w:t xml:space="preserve"> </w:t>
      </w:r>
      <w:r w:rsidRPr="008A3853">
        <w:rPr>
          <w:rFonts w:ascii="Inter" w:hAnsi="Inter"/>
        </w:rPr>
        <w:t xml:space="preserve">a odpisy činily 417,3 milionu EUR (+1,6 %; 410,7 milionu EUR). Celkově </w:t>
      </w:r>
      <w:r w:rsidRPr="008A3853">
        <w:rPr>
          <w:rFonts w:ascii="Inter" w:hAnsi="Inter"/>
          <w:b/>
        </w:rPr>
        <w:t>se provozní výsledek</w:t>
      </w:r>
      <w:r w:rsidRPr="008A3853">
        <w:rPr>
          <w:rFonts w:ascii="Inter" w:hAnsi="Inter"/>
        </w:rPr>
        <w:t xml:space="preserve"> výrazně zvýšil na 4 178,1 mil. eur (+44,6 %; 2 889,4 milionu EUR). Poměr </w:t>
      </w:r>
      <w:r w:rsidRPr="008A3853">
        <w:rPr>
          <w:rFonts w:ascii="Inter" w:hAnsi="Inter"/>
          <w:b/>
        </w:rPr>
        <w:t>nákladů a výnosů</w:t>
      </w:r>
      <w:r w:rsidRPr="008A3853">
        <w:rPr>
          <w:rFonts w:ascii="Inter" w:hAnsi="Inter"/>
        </w:rPr>
        <w:t xml:space="preserve"> se zlepšil na 46,8 % (53,9 %).</w:t>
      </w:r>
    </w:p>
    <w:p w14:paraId="7786AC46" w14:textId="77777777" w:rsidR="00B07936" w:rsidRPr="00DE0432" w:rsidRDefault="00B07936" w:rsidP="00B07936">
      <w:pPr>
        <w:spacing w:line="280" w:lineRule="exact"/>
        <w:rPr>
          <w:rFonts w:ascii="Inter" w:hAnsi="Inter"/>
          <w:highlight w:val="yellow"/>
          <w:lang w:val="en-US"/>
        </w:rPr>
      </w:pPr>
    </w:p>
    <w:p w14:paraId="048BDF90" w14:textId="09A01D2B" w:rsidR="00B07936" w:rsidRPr="00DE0432" w:rsidRDefault="000741BD" w:rsidP="00B07936">
      <w:pPr>
        <w:pStyle w:val="Nadpis4"/>
        <w:rPr>
          <w:rFonts w:ascii="Inter" w:hAnsi="Inter"/>
          <w:color w:val="auto"/>
          <w:highlight w:val="yellow"/>
          <w:lang w:val="en-US"/>
        </w:rPr>
      </w:pPr>
      <w:r w:rsidRPr="000741BD">
        <w:rPr>
          <w:rFonts w:ascii="Inter" w:hAnsi="Inter"/>
          <w:color w:val="auto"/>
        </w:rPr>
        <w:t>Podíl nesplácených úvěrů zůstává stabilní na historicky nízké úrovni 2,0 %</w:t>
      </w:r>
    </w:p>
    <w:p w14:paraId="15348062" w14:textId="39FAEA85" w:rsidR="00577E8C" w:rsidRPr="00577E8C" w:rsidRDefault="00577E8C" w:rsidP="00577E8C">
      <w:pPr>
        <w:spacing w:line="280" w:lineRule="exact"/>
        <w:rPr>
          <w:rFonts w:ascii="Inter" w:hAnsi="Inter"/>
          <w:lang w:val="en-US"/>
        </w:rPr>
      </w:pPr>
      <w:r w:rsidRPr="00577E8C">
        <w:rPr>
          <w:rFonts w:ascii="Inter" w:hAnsi="Inter"/>
        </w:rPr>
        <w:t>Snížení</w:t>
      </w:r>
      <w:r w:rsidRPr="00577E8C">
        <w:rPr>
          <w:rFonts w:ascii="Inter" w:hAnsi="Inter"/>
          <w:b/>
        </w:rPr>
        <w:t xml:space="preserve"> hodnoty</w:t>
      </w:r>
      <w:r w:rsidR="0091398C">
        <w:rPr>
          <w:rFonts w:ascii="Inter" w:hAnsi="Inter"/>
          <w:b/>
        </w:rPr>
        <w:t xml:space="preserve"> opravných položek</w:t>
      </w:r>
      <w:r w:rsidR="00CC6B55">
        <w:rPr>
          <w:rFonts w:ascii="Inter" w:hAnsi="Inter"/>
        </w:rPr>
        <w:t xml:space="preserve">("rizikové náklady") činilo -127,5 milionu EUR nebo 8 bazických bodů </w:t>
      </w:r>
      <w:r w:rsidR="0091398C">
        <w:rPr>
          <w:rFonts w:ascii="Inter" w:hAnsi="Inter"/>
        </w:rPr>
        <w:t xml:space="preserve">z hodnoty </w:t>
      </w:r>
      <w:r w:rsidR="00CC6B55">
        <w:rPr>
          <w:rFonts w:ascii="Inter" w:hAnsi="Inter"/>
        </w:rPr>
        <w:t>průměrn</w:t>
      </w:r>
      <w:r w:rsidR="0091398C">
        <w:rPr>
          <w:rFonts w:ascii="Inter" w:hAnsi="Inter"/>
        </w:rPr>
        <w:t>ých</w:t>
      </w:r>
      <w:r w:rsidR="00CC6B55">
        <w:rPr>
          <w:rFonts w:ascii="Inter" w:hAnsi="Inter"/>
        </w:rPr>
        <w:t xml:space="preserve"> hrubých úvěrů zákazníků (-158,3 milionu EUR nebo 11 bazických bodů). </w:t>
      </w:r>
      <w:r w:rsidR="0091398C">
        <w:rPr>
          <w:rFonts w:ascii="Inter" w:hAnsi="Inter"/>
        </w:rPr>
        <w:t>Snižování hodnoty</w:t>
      </w:r>
      <w:r w:rsidR="00CC6B55">
        <w:rPr>
          <w:rFonts w:ascii="Inter" w:hAnsi="Inter"/>
        </w:rPr>
        <w:t xml:space="preserve"> rezerv na úvěry a pohledávky byl</w:t>
      </w:r>
      <w:r w:rsidR="0091398C">
        <w:rPr>
          <w:rFonts w:ascii="Inter" w:hAnsi="Inter"/>
        </w:rPr>
        <w:t>o</w:t>
      </w:r>
      <w:r w:rsidR="00CC6B55">
        <w:rPr>
          <w:rFonts w:ascii="Inter" w:hAnsi="Inter"/>
        </w:rPr>
        <w:t xml:space="preserve"> </w:t>
      </w:r>
      <w:r w:rsidR="0091398C">
        <w:rPr>
          <w:rFonts w:ascii="Inter" w:hAnsi="Inter"/>
        </w:rPr>
        <w:t>zaznamenáno</w:t>
      </w:r>
      <w:r w:rsidR="00CC6B55">
        <w:rPr>
          <w:rFonts w:ascii="Inter" w:hAnsi="Inter"/>
        </w:rPr>
        <w:t xml:space="preserve"> na všech hlavních trzích s výjimkou Chorvatska. Kladný příspěvek pocházel z čistého rozpuštění rezerv na závazky a záruky a také z výnosů ze zpětného získání již odepsaných úvěrů (v obou případech zejména v Rakousku). Podíl </w:t>
      </w:r>
      <w:bookmarkStart w:id="0" w:name="_Hlk117764416"/>
      <w:bookmarkEnd w:id="0"/>
      <w:r w:rsidRPr="00577E8C">
        <w:rPr>
          <w:rFonts w:ascii="Inter" w:hAnsi="Inter"/>
          <w:b/>
        </w:rPr>
        <w:t>nesplácených úvěrů</w:t>
      </w:r>
      <w:r w:rsidRPr="00577E8C">
        <w:rPr>
          <w:rFonts w:ascii="Inter" w:hAnsi="Inter"/>
        </w:rPr>
        <w:t xml:space="preserve"> na hrubých klientských úvěrech zůstal stabilní na úrovni 2,0 % (2,0 %). Míra </w:t>
      </w:r>
      <w:r w:rsidRPr="00577E8C">
        <w:rPr>
          <w:rFonts w:ascii="Inter" w:hAnsi="Inter"/>
          <w:b/>
        </w:rPr>
        <w:t>krytí úvěrů se selháním</w:t>
      </w:r>
      <w:r w:rsidRPr="00577E8C">
        <w:rPr>
          <w:rFonts w:ascii="Inter" w:hAnsi="Inter"/>
        </w:rPr>
        <w:t xml:space="preserve"> (bez zajištění) se zvýšila na 96,7 % (94,6 %).</w:t>
      </w:r>
    </w:p>
    <w:p w14:paraId="413114FD" w14:textId="77777777" w:rsidR="00B07936" w:rsidRPr="00EA748E" w:rsidRDefault="00B07936" w:rsidP="00B07936">
      <w:pPr>
        <w:spacing w:line="280" w:lineRule="exact"/>
        <w:rPr>
          <w:rFonts w:ascii="Inter" w:hAnsi="Inter"/>
          <w:highlight w:val="yellow"/>
          <w:lang w:val="en-US"/>
        </w:rPr>
      </w:pPr>
    </w:p>
    <w:p w14:paraId="12FF0F18" w14:textId="1E802C5B" w:rsidR="00B07936" w:rsidRPr="00EA748E" w:rsidRDefault="0087689A" w:rsidP="00B07936">
      <w:pPr>
        <w:pStyle w:val="Nadpis4"/>
        <w:rPr>
          <w:rFonts w:ascii="Inter" w:hAnsi="Inter"/>
          <w:color w:val="auto"/>
          <w:highlight w:val="yellow"/>
          <w:lang w:val="en-US"/>
        </w:rPr>
      </w:pPr>
      <w:r>
        <w:rPr>
          <w:rFonts w:ascii="Inter" w:hAnsi="Inter"/>
          <w:color w:val="auto"/>
        </w:rPr>
        <w:t>Silný provozní výsledek, nízké rizikové náklady vedou ke zvýšení čistého zisku</w:t>
      </w:r>
    </w:p>
    <w:p w14:paraId="1B17CB07" w14:textId="37CAC500" w:rsidR="00EC1274" w:rsidRPr="00EC1274" w:rsidRDefault="00EC1274" w:rsidP="00EC1274">
      <w:pPr>
        <w:spacing w:line="280" w:lineRule="exact"/>
        <w:rPr>
          <w:rFonts w:ascii="Inter" w:hAnsi="Inter"/>
          <w:lang w:val="en-US"/>
        </w:rPr>
      </w:pPr>
      <w:r w:rsidRPr="00EC1274">
        <w:rPr>
          <w:rFonts w:ascii="Inter" w:hAnsi="Inter"/>
          <w:b/>
        </w:rPr>
        <w:t>Ostatní provozní výsledek</w:t>
      </w:r>
      <w:r w:rsidRPr="00EC1274">
        <w:rPr>
          <w:rFonts w:ascii="Inter" w:hAnsi="Inter"/>
        </w:rPr>
        <w:t xml:space="preserve"> činil -326,9 mil. EUR (-246,5 mil. EUR). Náklady na roční příspěvky do fondů pro řešení krizí zahrnuté v této položce již za celý rok 2023 poklesly (zejména v Rakousku a České republice) na 113,5 mil. EUR (139,1 mil. EUR). Bankovní </w:t>
      </w:r>
      <w:r w:rsidR="0091398C">
        <w:rPr>
          <w:rFonts w:ascii="Inter" w:hAnsi="Inter"/>
        </w:rPr>
        <w:t>daně</w:t>
      </w:r>
      <w:r w:rsidRPr="00EC1274">
        <w:rPr>
          <w:rFonts w:ascii="Inter" w:hAnsi="Inter"/>
        </w:rPr>
        <w:t xml:space="preserve">, které jsou v současné době splatné na dvou hlavních trzích, se zvýšily na 147,8 milionu EUR (133,2 milionu EUR). Z toho 118,9 milionu </w:t>
      </w:r>
      <w:r w:rsidR="0091398C">
        <w:rPr>
          <w:rFonts w:ascii="Inter" w:hAnsi="Inter"/>
        </w:rPr>
        <w:t>EUR</w:t>
      </w:r>
      <w:r w:rsidRPr="00EC1274">
        <w:rPr>
          <w:rFonts w:ascii="Inter" w:hAnsi="Inter"/>
        </w:rPr>
        <w:t xml:space="preserve"> </w:t>
      </w:r>
      <w:r w:rsidR="0091398C">
        <w:rPr>
          <w:rFonts w:ascii="Inter" w:hAnsi="Inter"/>
        </w:rPr>
        <w:t>připadá na</w:t>
      </w:r>
      <w:r w:rsidRPr="00EC1274">
        <w:rPr>
          <w:rFonts w:ascii="Inter" w:hAnsi="Inter"/>
        </w:rPr>
        <w:t xml:space="preserve"> Maďarsko. V Rakousku se bankovní daň zvýšila na 28,9 milionu eur (24,8 milionu eur). Ostatní provozní výsledek byl navíc nepříznivě ovlivněn vlivy ocenění. </w:t>
      </w:r>
    </w:p>
    <w:p w14:paraId="47FEEBE9" w14:textId="77777777" w:rsidR="00B07936" w:rsidRPr="00B42016" w:rsidRDefault="00B07936" w:rsidP="00B07936">
      <w:pPr>
        <w:spacing w:line="280" w:lineRule="exact"/>
        <w:rPr>
          <w:rFonts w:ascii="Inter" w:hAnsi="Inter"/>
          <w:lang w:val="en-US"/>
        </w:rPr>
      </w:pPr>
    </w:p>
    <w:p w14:paraId="23C7C204" w14:textId="6CA5803D" w:rsidR="00B42016" w:rsidRPr="00B42016" w:rsidRDefault="00B42016" w:rsidP="00B42016">
      <w:pPr>
        <w:spacing w:line="280" w:lineRule="exact"/>
        <w:rPr>
          <w:rFonts w:ascii="Inter" w:hAnsi="Inter"/>
          <w:lang w:val="en-US"/>
        </w:rPr>
      </w:pPr>
      <w:r w:rsidRPr="00B42016">
        <w:rPr>
          <w:rFonts w:ascii="Inter" w:hAnsi="Inter"/>
        </w:rPr>
        <w:t>Daně z příjmu činily 669,6 milionu eur (434,5 milionu eur). Nárůst minoritního poplatku na 740,9 mil. EUR (332,6 mil. EUR) byl způsoben výrazně lepšími výsledky spořitelen – především díky vyšším čistým úrokovým výnosům. Čistý</w:t>
      </w:r>
      <w:r w:rsidRPr="00B42016">
        <w:rPr>
          <w:rFonts w:ascii="Inter" w:hAnsi="Inter"/>
          <w:b/>
        </w:rPr>
        <w:t xml:space="preserve"> výsledek připadající vlastníkům mateřské společnosti </w:t>
      </w:r>
      <w:r w:rsidR="00262E56">
        <w:rPr>
          <w:rFonts w:ascii="Inter" w:hAnsi="Inter"/>
        </w:rPr>
        <w:t>("čistý zisk") vzrostl na 2 309,6 milionu eur (1,647,0 milionu eur) díky silnému provoznímu výsledku a nízkým rizikovým nákladům.</w:t>
      </w:r>
    </w:p>
    <w:p w14:paraId="203A549D" w14:textId="77777777" w:rsidR="00B07936" w:rsidRPr="00B42016" w:rsidRDefault="00B07936" w:rsidP="00B07936">
      <w:pPr>
        <w:spacing w:line="280" w:lineRule="exact"/>
        <w:rPr>
          <w:rFonts w:ascii="Inter" w:hAnsi="Inter"/>
          <w:highlight w:val="yellow"/>
          <w:lang w:val="en-US"/>
        </w:rPr>
      </w:pPr>
    </w:p>
    <w:p w14:paraId="78CCBE95" w14:textId="2355AD83" w:rsidR="00B07936" w:rsidRPr="0081072C" w:rsidRDefault="00AF1C38" w:rsidP="00B07936">
      <w:pPr>
        <w:pStyle w:val="Nadpis4"/>
        <w:rPr>
          <w:rFonts w:ascii="Inter" w:hAnsi="Inter"/>
          <w:color w:val="auto"/>
          <w:highlight w:val="yellow"/>
          <w:lang w:val="en-US"/>
        </w:rPr>
      </w:pPr>
      <w:r>
        <w:rPr>
          <w:rFonts w:ascii="Inter" w:hAnsi="Inter"/>
          <w:color w:val="auto"/>
        </w:rPr>
        <w:t>Objemy klientských úvěrů rostou na všech hlavních trzích</w:t>
      </w:r>
    </w:p>
    <w:p w14:paraId="12F9B6B1" w14:textId="66ADBEA2" w:rsidR="00696908" w:rsidRPr="00696908" w:rsidRDefault="00696908" w:rsidP="00696908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r w:rsidRPr="00696908">
        <w:rPr>
          <w:rFonts w:ascii="Inter" w:hAnsi="Inter"/>
          <w:b/>
          <w:sz w:val="20"/>
          <w:szCs w:val="20"/>
        </w:rPr>
        <w:t>Celkový vlastní kapitál</w:t>
      </w:r>
      <w:r w:rsidRPr="00696908">
        <w:rPr>
          <w:rFonts w:ascii="Inter" w:hAnsi="Inter"/>
          <w:sz w:val="20"/>
          <w:szCs w:val="20"/>
        </w:rPr>
        <w:t xml:space="preserve"> bez</w:t>
      </w:r>
      <w:r w:rsidR="0091398C">
        <w:rPr>
          <w:rFonts w:ascii="Inter" w:hAnsi="Inter"/>
          <w:sz w:val="20"/>
          <w:szCs w:val="20"/>
        </w:rPr>
        <w:t xml:space="preserve"> </w:t>
      </w:r>
      <w:r w:rsidRPr="00696908">
        <w:rPr>
          <w:rFonts w:ascii="Inter" w:hAnsi="Inter"/>
          <w:sz w:val="20"/>
          <w:szCs w:val="20"/>
        </w:rPr>
        <w:t xml:space="preserve">nástrojů zahrnovaných do vedlejšího kapitálu </w:t>
      </w:r>
      <w:r w:rsidR="0091398C">
        <w:rPr>
          <w:rFonts w:ascii="Inter" w:hAnsi="Inter"/>
          <w:sz w:val="20"/>
          <w:szCs w:val="20"/>
        </w:rPr>
        <w:t>t</w:t>
      </w:r>
      <w:r w:rsidRPr="00696908">
        <w:rPr>
          <w:rFonts w:ascii="Inter" w:hAnsi="Inter"/>
          <w:sz w:val="20"/>
          <w:szCs w:val="20"/>
        </w:rPr>
        <w:t xml:space="preserve">ier 1 vzrostl na 25,3 mld. EUR (23,1 mld. EUR). Po regulatorních odpočtech a </w:t>
      </w:r>
      <w:r w:rsidR="0091398C">
        <w:rPr>
          <w:rFonts w:ascii="Inter" w:hAnsi="Inter"/>
          <w:sz w:val="20"/>
          <w:szCs w:val="20"/>
        </w:rPr>
        <w:t>očištění</w:t>
      </w:r>
      <w:r w:rsidR="0091398C" w:rsidRPr="00696908">
        <w:rPr>
          <w:rFonts w:ascii="Inter" w:hAnsi="Inter"/>
          <w:sz w:val="20"/>
          <w:szCs w:val="20"/>
        </w:rPr>
        <w:t xml:space="preserve"> </w:t>
      </w:r>
      <w:r w:rsidRPr="00696908">
        <w:rPr>
          <w:rFonts w:ascii="Inter" w:hAnsi="Inter"/>
          <w:sz w:val="20"/>
          <w:szCs w:val="20"/>
        </w:rPr>
        <w:t>v souladu s nařízením o kapitálových požadavcích (CRR</w:t>
      </w:r>
      <w:r w:rsidRPr="00696908">
        <w:rPr>
          <w:rFonts w:ascii="Inter" w:hAnsi="Inter"/>
          <w:b/>
          <w:sz w:val="20"/>
          <w:szCs w:val="20"/>
        </w:rPr>
        <w:t xml:space="preserve">) vzrostl kmenový kapitál tier 1 (CET1, final) na 21,4 mld. EUR (20,4 mld. EUR) a </w:t>
      </w:r>
      <w:r w:rsidRPr="00696908">
        <w:rPr>
          <w:rFonts w:ascii="Inter" w:hAnsi="Inter"/>
          <w:sz w:val="20"/>
          <w:szCs w:val="20"/>
        </w:rPr>
        <w:t xml:space="preserve">celkový kapitál (konečný) na 27,7 </w:t>
      </w:r>
      <w:r w:rsidRPr="00696908">
        <w:rPr>
          <w:rFonts w:ascii="Inter" w:hAnsi="Inter"/>
          <w:b/>
          <w:sz w:val="20"/>
          <w:szCs w:val="20"/>
        </w:rPr>
        <w:t xml:space="preserve"> mld. EUR (26,2 mld. EUR </w:t>
      </w:r>
      <w:r w:rsidRPr="00696908">
        <w:rPr>
          <w:rFonts w:ascii="Inter" w:hAnsi="Inter"/>
          <w:sz w:val="20"/>
          <w:szCs w:val="20"/>
        </w:rPr>
        <w:t xml:space="preserve"> ). Zatímco </w:t>
      </w:r>
      <w:r w:rsidR="0091398C">
        <w:rPr>
          <w:rFonts w:ascii="Inter" w:hAnsi="Inter"/>
          <w:sz w:val="20"/>
          <w:szCs w:val="20"/>
        </w:rPr>
        <w:t>předběžný</w:t>
      </w:r>
      <w:r w:rsidR="0091398C" w:rsidRPr="00696908">
        <w:rPr>
          <w:rFonts w:ascii="Inter" w:hAnsi="Inter"/>
          <w:sz w:val="20"/>
          <w:szCs w:val="20"/>
        </w:rPr>
        <w:t xml:space="preserve"> </w:t>
      </w:r>
      <w:r w:rsidRPr="00696908">
        <w:rPr>
          <w:rFonts w:ascii="Inter" w:hAnsi="Inter"/>
          <w:sz w:val="20"/>
          <w:szCs w:val="20"/>
        </w:rPr>
        <w:t>zisk za první pololetí je zahrnut do výše uvedených čísel, zisk za třetí čtvrtletí nikoliv. Celkové riziko (</w:t>
      </w:r>
      <w:r w:rsidRPr="00696908">
        <w:rPr>
          <w:rFonts w:ascii="Inter" w:hAnsi="Inter"/>
          <w:b/>
          <w:sz w:val="20"/>
          <w:szCs w:val="20"/>
        </w:rPr>
        <w:t>rizikově vážená aktiva</w:t>
      </w:r>
      <w:r w:rsidRPr="00696908">
        <w:rPr>
          <w:rFonts w:ascii="Inter" w:hAnsi="Inter"/>
          <w:sz w:val="20"/>
          <w:szCs w:val="20"/>
        </w:rPr>
        <w:t xml:space="preserve"> včetně úvěrového, tržního a operačního rizika, CRR final) vzrostlo na 148,0 mld. EUR (143,9 mld. EUR). </w:t>
      </w:r>
      <w:r w:rsidRPr="00696908">
        <w:rPr>
          <w:rFonts w:ascii="Inter" w:hAnsi="Inter"/>
          <w:b/>
          <w:sz w:val="20"/>
          <w:szCs w:val="20"/>
        </w:rPr>
        <w:t xml:space="preserve"> Ukazatel kmenového kapitálu Tier 1</w:t>
      </w:r>
      <w:r w:rsidRPr="00696908">
        <w:rPr>
          <w:rFonts w:ascii="Inter" w:hAnsi="Inter"/>
          <w:sz w:val="20"/>
          <w:szCs w:val="20"/>
        </w:rPr>
        <w:t xml:space="preserve"> (CET1, final) činil 14,5 % (14,2 %) a </w:t>
      </w:r>
      <w:r w:rsidRPr="00696908">
        <w:rPr>
          <w:rFonts w:ascii="Inter" w:hAnsi="Inter"/>
          <w:b/>
          <w:sz w:val="20"/>
          <w:szCs w:val="20"/>
        </w:rPr>
        <w:t xml:space="preserve">celkový kapitálový poměr </w:t>
      </w:r>
      <w:r w:rsidRPr="00696908">
        <w:rPr>
          <w:rFonts w:ascii="Inter" w:hAnsi="Inter"/>
          <w:sz w:val="20"/>
          <w:szCs w:val="20"/>
        </w:rPr>
        <w:t xml:space="preserve"> 18,7 % (18,2 %).</w:t>
      </w:r>
    </w:p>
    <w:p w14:paraId="5211D882" w14:textId="77777777" w:rsidR="003F6E1D" w:rsidRPr="003F6E1D" w:rsidRDefault="003F6E1D" w:rsidP="003F6E1D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707D9525" w14:textId="77777777" w:rsidR="00A57C24" w:rsidRPr="00A57C24" w:rsidRDefault="00A57C24" w:rsidP="00A57C24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r w:rsidRPr="00A57C24">
        <w:rPr>
          <w:rFonts w:ascii="Inter" w:hAnsi="Inter"/>
          <w:b/>
          <w:sz w:val="20"/>
          <w:szCs w:val="20"/>
        </w:rPr>
        <w:t>Celková aktiva vzrostla</w:t>
      </w:r>
      <w:r w:rsidRPr="00A57C24">
        <w:rPr>
          <w:rFonts w:ascii="Inter" w:hAnsi="Inter"/>
          <w:sz w:val="20"/>
          <w:szCs w:val="20"/>
        </w:rPr>
        <w:t xml:space="preserve"> na 337,2 mld. EUR (+4,1 %; 323,9 miliardy EUR). Na straně aktiv se hotovost a hotovostní zůstatky snížily na 31,9 mld. EUR (35,7 mld. EUR), úvěry a pohledávky bankám vzrostly na 28,1 mld. EUR (18,4 mld. EUR), a to zejména v Rakousku a České republice. </w:t>
      </w:r>
      <w:r w:rsidRPr="00A57C24">
        <w:rPr>
          <w:rFonts w:ascii="Inter" w:hAnsi="Inter"/>
          <w:b/>
          <w:sz w:val="20"/>
          <w:szCs w:val="20"/>
        </w:rPr>
        <w:t xml:space="preserve">Úvěry a pohledávky za klienty </w:t>
      </w:r>
      <w:r w:rsidRPr="00A57C24">
        <w:rPr>
          <w:rFonts w:ascii="Inter" w:hAnsi="Inter"/>
          <w:sz w:val="20"/>
          <w:szCs w:val="20"/>
        </w:rPr>
        <w:t xml:space="preserve">vzrostly od začátku roku na všech hlavních trzích na 206,2 mld. eur (+2,0 %; 202,1 mld. EUR) s růstem objemu retailových i podnikových úvěrů. Na straně pasiv poklesly vklady bank na 23,2 mld. EUR (28,8 mld. EUR). </w:t>
      </w:r>
      <w:r w:rsidRPr="00A57C24">
        <w:rPr>
          <w:rFonts w:ascii="Inter" w:hAnsi="Inter"/>
          <w:b/>
          <w:sz w:val="20"/>
          <w:szCs w:val="20"/>
        </w:rPr>
        <w:t>Vklady klientů</w:t>
      </w:r>
      <w:r w:rsidRPr="00A57C24">
        <w:rPr>
          <w:rFonts w:ascii="Inter" w:hAnsi="Inter"/>
          <w:sz w:val="20"/>
          <w:szCs w:val="20"/>
        </w:rPr>
        <w:t xml:space="preserve"> vzrostly téměř na všech klíčových trzích – nejvýrazněji v Rakousku a České republice – na 235,8 mld. eur (+5,3 %; 224,0 miliard EUR). Poměr</w:t>
      </w:r>
      <w:r w:rsidRPr="00A57C24">
        <w:rPr>
          <w:rFonts w:ascii="Inter" w:hAnsi="Inter"/>
          <w:b/>
          <w:sz w:val="20"/>
          <w:szCs w:val="20"/>
        </w:rPr>
        <w:t xml:space="preserve"> úvěrů ke vkladům</w:t>
      </w:r>
      <w:r w:rsidRPr="00A57C24">
        <w:rPr>
          <w:rFonts w:ascii="Inter" w:hAnsi="Inter"/>
          <w:sz w:val="20"/>
          <w:szCs w:val="20"/>
        </w:rPr>
        <w:t xml:space="preserve"> činil 87,4 % (90,2 %).</w:t>
      </w:r>
    </w:p>
    <w:p w14:paraId="5BB30067" w14:textId="7D236221" w:rsidR="00876EFB" w:rsidRPr="00EA748E" w:rsidRDefault="00876EFB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51788FB6" w14:textId="470ECF9C" w:rsidR="00876EFB" w:rsidRPr="00EA748E" w:rsidRDefault="00DE0432" w:rsidP="00B07936">
      <w:pPr>
        <w:pStyle w:val="Nadpis4"/>
        <w:rPr>
          <w:rFonts w:ascii="Inter" w:hAnsi="Inter"/>
          <w:color w:val="auto"/>
          <w:lang w:val="en-US"/>
        </w:rPr>
      </w:pPr>
      <w:r w:rsidRPr="00EA748E">
        <w:rPr>
          <w:rFonts w:ascii="Inter" w:hAnsi="Inter"/>
          <w:color w:val="auto"/>
        </w:rPr>
        <w:t>V</w:t>
      </w:r>
      <w:r w:rsidR="0091398C">
        <w:rPr>
          <w:rFonts w:ascii="Inter" w:hAnsi="Inter"/>
          <w:color w:val="auto"/>
        </w:rPr>
        <w:t>ýhled</w:t>
      </w:r>
    </w:p>
    <w:p w14:paraId="2E2BF646" w14:textId="02CADB19" w:rsidR="001C6C55" w:rsidRPr="001C6C55" w:rsidRDefault="001C6C55" w:rsidP="001C6C55">
      <w:pPr>
        <w:spacing w:line="280" w:lineRule="exact"/>
        <w:rPr>
          <w:rFonts w:ascii="Inter" w:hAnsi="Inter"/>
          <w:lang w:val="en-US"/>
        </w:rPr>
      </w:pPr>
      <w:r w:rsidRPr="001C6C55">
        <w:rPr>
          <w:rFonts w:ascii="Inter" w:hAnsi="Inter"/>
        </w:rPr>
        <w:t xml:space="preserve">Ekonomové očekávají, že hlavní trhy Erste Group se v roce 2023 vyhnou recesi a ve skutečnosti vykážou </w:t>
      </w:r>
      <w:r w:rsidRPr="001C6C55">
        <w:rPr>
          <w:rFonts w:ascii="Inter" w:hAnsi="Inter"/>
          <w:b/>
        </w:rPr>
        <w:t>růst reálného HDP</w:t>
      </w:r>
      <w:r w:rsidRPr="001C6C55">
        <w:rPr>
          <w:rFonts w:ascii="Inter" w:hAnsi="Inter"/>
        </w:rPr>
        <w:t xml:space="preserve">. </w:t>
      </w:r>
      <w:r w:rsidRPr="0091398C">
        <w:rPr>
          <w:rFonts w:ascii="Inter" w:hAnsi="Inter"/>
          <w:bCs/>
        </w:rPr>
        <w:t>Očekává se, že</w:t>
      </w:r>
      <w:r w:rsidRPr="00620056">
        <w:rPr>
          <w:rFonts w:ascii="Inter" w:hAnsi="Inter"/>
          <w:b/>
        </w:rPr>
        <w:t xml:space="preserve"> inflační tlaky</w:t>
      </w:r>
      <w:r w:rsidRPr="001C6C55">
        <w:rPr>
          <w:rFonts w:ascii="Inter" w:hAnsi="Inter"/>
        </w:rPr>
        <w:t xml:space="preserve"> v roce 2023 odezní poté, co v roce 2022 dosáhly dvouciferných hodnot v důsledku mimořádně vysokých cen energií. Pokračující </w:t>
      </w:r>
      <w:r w:rsidRPr="00620056">
        <w:rPr>
          <w:rFonts w:ascii="Inter" w:hAnsi="Inter"/>
          <w:b/>
        </w:rPr>
        <w:t>silný trh práce</w:t>
      </w:r>
      <w:r w:rsidRPr="001C6C55">
        <w:rPr>
          <w:rFonts w:ascii="Inter" w:hAnsi="Inter"/>
        </w:rPr>
        <w:t xml:space="preserve"> by měl podporovat ekonomickou výkonnost na všech trzích Erste Group. Očekává se, že salda běžného účtu, která v roce 2022 výrazně utrpěla v důsledku mimořádně vysokých cen energií, se v roce 2023 opět zlepší a budou těžit z obratu v cenách energií. Po výrazných </w:t>
      </w:r>
      <w:r w:rsidRPr="001C6C55">
        <w:rPr>
          <w:rFonts w:ascii="Inter" w:hAnsi="Inter"/>
          <w:b/>
        </w:rPr>
        <w:t>rozpočtových schodcích</w:t>
      </w:r>
      <w:r w:rsidRPr="001C6C55">
        <w:rPr>
          <w:rFonts w:ascii="Inter" w:hAnsi="Inter"/>
        </w:rPr>
        <w:t xml:space="preserve"> v roce 2022 by se rovněž měla opět konsolidovat fiskální bilance. Veřejný dluh k HDP na všech trzích Erste Group by měl být víceméně stabilní, a zůstat tak výrazně pod průměrem eurozóny.</w:t>
      </w:r>
    </w:p>
    <w:p w14:paraId="679F37D3" w14:textId="77777777" w:rsidR="000B17A5" w:rsidRPr="00EA748E" w:rsidRDefault="000B17A5" w:rsidP="000B17A5">
      <w:pPr>
        <w:spacing w:line="280" w:lineRule="exact"/>
        <w:rPr>
          <w:rFonts w:ascii="Inter" w:hAnsi="Inter"/>
          <w:highlight w:val="yellow"/>
          <w:lang w:val="en-US"/>
        </w:rPr>
      </w:pPr>
    </w:p>
    <w:p w14:paraId="1A0725AF" w14:textId="3B440D9F" w:rsidR="00BF1813" w:rsidRPr="00BF1813" w:rsidRDefault="00FD2BAF" w:rsidP="00BF1813">
      <w:pPr>
        <w:spacing w:line="280" w:lineRule="exact"/>
        <w:rPr>
          <w:rFonts w:ascii="Inter" w:hAnsi="Inter"/>
          <w:lang w:val="en-US"/>
        </w:rPr>
      </w:pPr>
      <w:r w:rsidRPr="00FD2BAF">
        <w:rPr>
          <w:rFonts w:ascii="Inter" w:hAnsi="Inter"/>
        </w:rPr>
        <w:t xml:space="preserve">V této souvislosti Erste Group očekává </w:t>
      </w:r>
      <w:r w:rsidRPr="00BF1813">
        <w:rPr>
          <w:rFonts w:ascii="Inter" w:hAnsi="Inter"/>
          <w:b/>
        </w:rPr>
        <w:t>čistý růst úvěrů</w:t>
      </w:r>
      <w:r>
        <w:rPr>
          <w:rFonts w:ascii="Inter" w:hAnsi="Inter"/>
        </w:rPr>
        <w:t xml:space="preserve"> ve výši přibližně 5 %. Na základě výše popsaného makroekonomického výhledu</w:t>
      </w:r>
      <w:r w:rsidR="00BF1813" w:rsidRPr="0091398C">
        <w:rPr>
          <w:rFonts w:ascii="Inter" w:hAnsi="Inter"/>
        </w:rPr>
        <w:t xml:space="preserve"> by</w:t>
      </w:r>
      <w:r w:rsidR="00BF1813" w:rsidRPr="00AA70EA">
        <w:rPr>
          <w:rFonts w:ascii="Inter" w:hAnsi="Inter"/>
          <w:b/>
          <w:bCs/>
        </w:rPr>
        <w:t xml:space="preserve"> rizikové náklady</w:t>
      </w:r>
      <w:r w:rsidR="00BF1813" w:rsidRPr="00BF1813">
        <w:rPr>
          <w:rFonts w:ascii="Inter" w:hAnsi="Inter"/>
        </w:rPr>
        <w:t xml:space="preserve"> měly v roce 2023 zůstat na nízké úrovni. Zatímco přesné prognózy jsou při současných nízkých úrovních rizikových nákladů obtížné, Erste Group se domnívá, že v roce 2023 budou rizikové náklady nižší než 10 bazických bodů průměrných hrubých zákaznických úvěrů. </w:t>
      </w:r>
    </w:p>
    <w:p w14:paraId="1B28E7C4" w14:textId="77777777" w:rsidR="00326955" w:rsidRDefault="00326955" w:rsidP="006066CB">
      <w:pPr>
        <w:spacing w:line="280" w:lineRule="exact"/>
        <w:rPr>
          <w:rFonts w:ascii="Inter" w:hAnsi="Inter"/>
          <w:lang w:val="en-US"/>
        </w:rPr>
      </w:pPr>
    </w:p>
    <w:p w14:paraId="0A181B41" w14:textId="5CF6048B" w:rsidR="00AF49D2" w:rsidRDefault="00AF49D2" w:rsidP="00AF49D2">
      <w:pPr>
        <w:spacing w:line="280" w:lineRule="exact"/>
        <w:rPr>
          <w:lang w:val="en-US"/>
        </w:rPr>
      </w:pPr>
      <w:r w:rsidRPr="00326955">
        <w:rPr>
          <w:rFonts w:ascii="Inter" w:hAnsi="Inter"/>
        </w:rPr>
        <w:t>Erste Group si klade za cíl dosáhnout pro rok 2023 návratnosti hmotného kapitálu ("</w:t>
      </w:r>
      <w:r w:rsidRPr="006066CB">
        <w:rPr>
          <w:rFonts w:ascii="Inter" w:hAnsi="Inter"/>
          <w:b/>
          <w:bCs/>
        </w:rPr>
        <w:t>ROTE")</w:t>
      </w:r>
      <w:r w:rsidR="006859E0">
        <w:rPr>
          <w:rFonts w:ascii="Inter" w:hAnsi="Inter"/>
        </w:rPr>
        <w:t xml:space="preserve"> nad 15 %.</w:t>
      </w:r>
      <w:r>
        <w:t xml:space="preserve"> Očekává se, že </w:t>
      </w:r>
      <w:r w:rsidR="00326955" w:rsidRPr="0091398C">
        <w:rPr>
          <w:rFonts w:ascii="Inter" w:hAnsi="Inter"/>
          <w:b/>
          <w:bCs/>
        </w:rPr>
        <w:t>poměr CET1</w:t>
      </w:r>
      <w:r w:rsidR="00326955" w:rsidRPr="00326955">
        <w:rPr>
          <w:rFonts w:ascii="Inter" w:hAnsi="Inter"/>
        </w:rPr>
        <w:t xml:space="preserve"> </w:t>
      </w:r>
      <w:r w:rsidR="00326955" w:rsidRPr="0091398C">
        <w:rPr>
          <w:rFonts w:ascii="Inter" w:hAnsi="Inter"/>
        </w:rPr>
        <w:t>Erste Group</w:t>
      </w:r>
      <w:r w:rsidR="00326955" w:rsidRPr="006066CB">
        <w:rPr>
          <w:rFonts w:ascii="Inter" w:hAnsi="Inter"/>
          <w:b/>
          <w:bCs/>
        </w:rPr>
        <w:t xml:space="preserve"> </w:t>
      </w:r>
      <w:r w:rsidR="00326955" w:rsidRPr="00326955">
        <w:rPr>
          <w:rFonts w:ascii="Inter" w:hAnsi="Inter"/>
        </w:rPr>
        <w:t xml:space="preserve">zůstane silný. V důsledku toho Erste Group plánuje </w:t>
      </w:r>
      <w:r w:rsidR="00326955" w:rsidRPr="0091398C">
        <w:rPr>
          <w:rFonts w:ascii="Inter" w:hAnsi="Inter"/>
        </w:rPr>
        <w:t>za</w:t>
      </w:r>
      <w:r w:rsidR="00326955" w:rsidRPr="00326955">
        <w:rPr>
          <w:rFonts w:ascii="Inter" w:hAnsi="Inter"/>
        </w:rPr>
        <w:t xml:space="preserve"> fiskální rok 2023 </w:t>
      </w:r>
      <w:r w:rsidR="00326955" w:rsidRPr="0091398C">
        <w:rPr>
          <w:rFonts w:ascii="Inter" w:hAnsi="Inter"/>
          <w:b/>
          <w:bCs/>
        </w:rPr>
        <w:t>dividendu</w:t>
      </w:r>
      <w:r w:rsidR="00326955" w:rsidRPr="00326955">
        <w:rPr>
          <w:rFonts w:ascii="Inter" w:hAnsi="Inter"/>
        </w:rPr>
        <w:t xml:space="preserve"> ve výši 2,70 EUR na akcii. Zpětný </w:t>
      </w:r>
      <w:r w:rsidR="00326955" w:rsidRPr="006066CB">
        <w:rPr>
          <w:rFonts w:ascii="Inter" w:hAnsi="Inter"/>
          <w:b/>
          <w:bCs/>
        </w:rPr>
        <w:t>odkup akcií</w:t>
      </w:r>
      <w:r w:rsidR="00326955" w:rsidRPr="00326955">
        <w:rPr>
          <w:rFonts w:ascii="Inter" w:hAnsi="Inter"/>
        </w:rPr>
        <w:t xml:space="preserve"> v objemu až 300 milionů eur probíhá dobře a již </w:t>
      </w:r>
      <w:r w:rsidR="0091398C">
        <w:rPr>
          <w:rFonts w:ascii="Inter" w:hAnsi="Inter"/>
        </w:rPr>
        <w:t xml:space="preserve">byl </w:t>
      </w:r>
      <w:r w:rsidR="00326955" w:rsidRPr="00326955">
        <w:rPr>
          <w:rFonts w:ascii="Inter" w:hAnsi="Inter"/>
        </w:rPr>
        <w:t xml:space="preserve">odečten z kapitálu. </w:t>
      </w:r>
    </w:p>
    <w:p w14:paraId="22781F72" w14:textId="77777777" w:rsidR="00AF49D2" w:rsidRDefault="00AF49D2" w:rsidP="00AF49D2">
      <w:pPr>
        <w:spacing w:line="280" w:lineRule="exact"/>
        <w:rPr>
          <w:lang w:val="en-US"/>
        </w:rPr>
      </w:pPr>
    </w:p>
    <w:p w14:paraId="04FB7172" w14:textId="65434F37" w:rsidR="00F643AF" w:rsidRPr="00A03504" w:rsidRDefault="00FA01C6" w:rsidP="00AF49D2">
      <w:pPr>
        <w:spacing w:line="280" w:lineRule="exact"/>
        <w:rPr>
          <w:rFonts w:ascii="Inter" w:hAnsi="Inter"/>
          <w:lang w:val="en-US"/>
        </w:rPr>
      </w:pPr>
      <w:r w:rsidRPr="00D5042F">
        <w:rPr>
          <w:rFonts w:ascii="Inter" w:hAnsi="Inter"/>
        </w:rPr>
        <w:t>Na základě předpokladu zlepšujícího se ekonomického prostředí je cílem Erste Group pro rok 2024 opět dosáhnout ROTE kolem 15 %.</w:t>
      </w:r>
    </w:p>
    <w:p w14:paraId="23FC8089" w14:textId="7998AD2B" w:rsidR="00CC18B8" w:rsidRDefault="00CC18B8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744E09DB" w14:textId="77777777" w:rsidR="00247013" w:rsidRDefault="00247013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27E11F7C" w14:textId="77777777" w:rsidR="00247013" w:rsidRDefault="00247013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3FEC18AE" w14:textId="77777777" w:rsidR="00247013" w:rsidRDefault="00247013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225E7018" w14:textId="77777777" w:rsidR="00247013" w:rsidRDefault="00247013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3143FEF9" w14:textId="77777777" w:rsidR="00247013" w:rsidRPr="00A03504" w:rsidRDefault="00247013" w:rsidP="00BC5E2E">
      <w:pPr>
        <w:pStyle w:val="Bezmezer"/>
        <w:spacing w:line="280" w:lineRule="exact"/>
        <w:rPr>
          <w:rFonts w:ascii="Inter" w:hAnsi="Inter"/>
          <w:lang w:val="en-US"/>
        </w:rPr>
      </w:pPr>
    </w:p>
    <w:p w14:paraId="0CFDF927" w14:textId="48C0AE51" w:rsidR="00247013" w:rsidRDefault="00247013" w:rsidP="009844F9">
      <w:pPr>
        <w:rPr>
          <w:rFonts w:ascii="Inter" w:hAnsi="Inter"/>
          <w:lang w:val="en-US"/>
        </w:rPr>
      </w:pPr>
      <w:r w:rsidRPr="00A85FA9">
        <w:rPr>
          <w:rFonts w:ascii="Inter" w:hAnsi="Inter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838EFC" wp14:editId="5307791B">
                <wp:simplePos x="0" y="0"/>
                <wp:positionH relativeFrom="column">
                  <wp:posOffset>1905</wp:posOffset>
                </wp:positionH>
                <wp:positionV relativeFrom="paragraph">
                  <wp:posOffset>355872</wp:posOffset>
                </wp:positionV>
                <wp:extent cx="5744845" cy="1554480"/>
                <wp:effectExtent l="0" t="0" r="27305" b="28575"/>
                <wp:wrapTopAndBottom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554480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39025" w14:textId="77777777" w:rsidR="00711D5D" w:rsidRPr="00711D5D" w:rsidRDefault="00711D5D" w:rsidP="00711D5D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</w:rPr>
                              <w:t>Dotazy médií:</w:t>
                            </w:r>
                          </w:p>
                          <w:p w14:paraId="448DD606" w14:textId="77777777" w:rsidR="00711D5D" w:rsidRPr="00711D5D" w:rsidRDefault="00711D5D" w:rsidP="00711D5D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>Erste Group | Tiskové oddělení, Am Belvedere 1, 1100 Wien</w:t>
                            </w:r>
                          </w:p>
                          <w:p w14:paraId="10588451" w14:textId="77777777" w:rsidR="00711D5D" w:rsidRPr="00711D5D" w:rsidRDefault="00711D5D" w:rsidP="00711D5D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Christian Hromatka, 050100 - 13711, e-mail: </w:t>
                            </w:r>
                            <w:hyperlink r:id="rId11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christian.hromatka@erstegroup.com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ED8CCA0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Martin Sonn-Wende, 050100 - 11680, e-mail: </w:t>
                            </w:r>
                            <w:hyperlink r:id="rId12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martin.sonn-wende@erstegroup.com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/>
                                <w:color w:val="2870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E2EEE9D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Peter Klopf, 050100 - 11676, e-mail: </w:t>
                            </w:r>
                            <w:hyperlink r:id="rId13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peter.klopf@erstegroup.com</w:t>
                              </w:r>
                            </w:hyperlink>
                          </w:p>
                          <w:p w14:paraId="024653A8" w14:textId="77777777" w:rsidR="007263E4" w:rsidRPr="00EA748E" w:rsidRDefault="007263E4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</w:pPr>
                          </w:p>
                          <w:p w14:paraId="5F04161E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Text je k dispozici také na adrese: </w:t>
                            </w:r>
                            <w:hyperlink r:id="rId14">
                              <w:r w:rsidR="00F7399E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3AD15EAF" w14:textId="77777777" w:rsidR="00711D5D" w:rsidRPr="00711D5D" w:rsidRDefault="00711D5D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</w:rPr>
                              <w:t xml:space="preserve">Pokud si v budoucnu nepřejete dostávat od nás žádné informace o médiích, </w:t>
                            </w:r>
                            <w:hyperlink r:id="rId15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napište prosím e-mail na presse@erstebank.at</w:t>
                              </w:r>
                            </w:hyperlink>
                            <w:r w:rsidRPr="00113355">
                              <w:rPr>
                                <w:rStyle w:val="Hypertextovodkaz"/>
                                <w:rFonts w:ascii="Inter" w:hAnsi="Inter"/>
                                <w:color w:val="2870ED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7" style="position:absolute;margin-left:.15pt;margin-top:28pt;width:452.35pt;height:12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color="#2870ed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" arcsize="7533f" w14:anchorId="57838EFC">
                <v:stroke joinstyle="miter"/>
                <v:textbox style="mso-fit-shape-to-text:t" inset="5mm,,5mm">
                  <w:txbxContent>
                    <w:p w:rsidRPr="00711D5D" w:rsidR="00711D5D" w:rsidP="00711D5D" w:rsidRDefault="00711D5D" w14:paraId="77139025" w14:textId="77777777">
                      <w:pPr>
                        <w:ind w:left="-426"/>
                        <w:jc w:val="center"/>
                        <w:rPr>
                          <w:rFonts w:ascii="Inter" w:hAnsi="Inter" w:eastAsia="Arial"/>
                          <w:b/>
                          <w:bCs/>
                          <w:color w:val="2870ED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hAnsi="Inter" w:eastAsia="Arial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>Dotazy médií:</w:t>
                      </w:r>
                    </w:p>
                    <w:p w:rsidRPr="00711D5D" w:rsidR="00711D5D" w:rsidP="00711D5D" w:rsidRDefault="00711D5D" w14:paraId="448DD606" w14:textId="77777777">
                      <w:pPr>
                        <w:ind w:left="-426"/>
                        <w:jc w:val="center"/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>Erste Group | Tiskové oddělení, Am Belvedere 1, 1100 Wien</w:t>
                      </w:r>
                      <w:proofErr w:type="spellEnd"/>
                    </w:p>
                    <w:p w:rsidRPr="00711D5D" w:rsidR="00711D5D" w:rsidP="00711D5D" w:rsidRDefault="00711D5D" w14:paraId="10588451" w14:textId="77777777">
                      <w:pPr>
                        <w:ind w:left="-426"/>
                        <w:jc w:val="center"/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 xml:space="preserve">Christian Hromatka, 050100 - 13711, e-mail: </w:t>
                      </w:r>
                      <w:proofErr w:type="spellStart"/>
                      <w:proofErr w:type="spellEnd"/>
                      <w:hyperlink w:history="1" r:id="rId16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  <w:lang w:val="Czech"/>
                          </w:rPr>
                          <w:t>christian.hromatka@erstegroup.com</w:t>
                        </w:r>
                      </w:hyperlink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lang w:val="Czech"/>
                        </w:rPr>
                        <w:t xml:space="preserve"> </w:t>
                      </w:r>
                    </w:p>
                    <w:p w:rsidRPr="00711D5D" w:rsidR="00711D5D" w:rsidP="00711D5D" w:rsidRDefault="00711D5D" w14:paraId="2ED8CCA0" w14:textId="77777777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 xml:space="preserve">Martin Sonn-Wende, 050100 - 11680, e-mail: </w:t>
                      </w:r>
                      <w:hyperlink w:history="1" r:id="rId17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  <w:lang w:val="Czech"/>
                          </w:rPr>
                          <w:t>martin.sonn-wende@erstegroup.com</w:t>
                        </w:r>
                      </w:hyperlink>
                      <w:r w:rsidRPr="00711D5D">
                        <w:rPr>
                          <w:rFonts w:ascii="Inter" w:hAnsi="Inter" w:eastAsia="Arial"/>
                          <w:color w:val="2870ED"/>
                          <w:sz w:val="14"/>
                          <w:szCs w:val="14"/>
                          <w:lang w:val="Czech"/>
                        </w:rPr>
                        <w:t xml:space="preserve"> </w:t>
                      </w:r>
                    </w:p>
                    <w:p w:rsidRPr="00711D5D" w:rsidR="00711D5D" w:rsidP="00711D5D" w:rsidRDefault="00711D5D" w14:paraId="4E2EEE9D" w14:textId="77777777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000000" w:themeColor="text1"/>
                        </w:rPr>
                      </w:pPr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 xml:space="preserve">Peter Klopf, 050100 - 11676, e-mail: </w:t>
                      </w:r>
                      <w:hyperlink w:history="1" r:id="rId18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  <w:lang w:val="Czech"/>
                          </w:rPr>
                          <w:t>peter.klopf@erstegroup.com</w:t>
                        </w:r>
                      </w:hyperlink>
                    </w:p>
                    <w:p w:rsidRPr="00EA748E" w:rsidR="007263E4" w:rsidP="00711D5D" w:rsidRDefault="007263E4" w14:paraId="024653A8" w14:textId="77777777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</w:pPr>
                    </w:p>
                    <w:p w:rsidRPr="00711D5D" w:rsidR="00711D5D" w:rsidP="00711D5D" w:rsidRDefault="00711D5D" w14:paraId="5F04161E" w14:textId="77777777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2870ED"/>
                          <w:lang w:val="en-US"/>
                        </w:rPr>
                      </w:pPr>
                      <w:r w:rsidRPr="00711D5D"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zech"/>
                        </w:rPr>
                        <w:t xml:space="preserve">Text je k dispozici také na adrese: </w:t>
                      </w:r>
                      <w:hyperlink r:id="rId19">
                        <w:r w:rsidR="00F7399E">
                          <w:rPr>
                            <w:rStyle w:val="Hypertextovodkaz"/>
                            <w:rFonts w:ascii="Inter" w:hAnsi="Inter"/>
                            <w:color w:val="2870ED"/>
                            <w:lang w:val="Czech"/>
                          </w:rPr>
                          <w:t>https://www.erstegroup.com/en/news-media</w:t>
                        </w:r>
                      </w:hyperlink>
                    </w:p>
                    <w:p w:rsidRPr="00711D5D" w:rsidR="00711D5D" w:rsidP="00711D5D" w:rsidRDefault="00711D5D" w14:paraId="3AD15EAF" w14:textId="77777777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hAnsi="Inter" w:eastAsia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Style w:val="Hypertextovodkaz"/>
                          <w:rFonts w:ascii="Inter" w:hAnsi="Inter"/>
                          <w:color w:val="000000" w:themeColor="text1"/>
                          <w:u w:val="none"/>
                          <w:lang w:val="Czech"/>
                        </w:rPr>
                        <w:t xml:space="preserve">Pokud si v budoucnu nepřejete dostávat od nás žádné informace o médiích, </w:t>
                      </w:r>
                      <w:hyperlink w:history="1" r:id="rId20">
                        <w:r w:rsidRPr="00711D5D">
                          <w:rPr>
                            <w:rStyle w:val="Hypertextovodkaz"/>
                            <w:rFonts w:ascii="Inter" w:hAnsi="Inter"/>
                            <w:color w:val="2870ED"/>
                            <w:lang w:val="Czech"/>
                          </w:rPr>
                          <w:t>napište prosím e-mail na presse@erstebank.at</w:t>
                        </w:r>
                      </w:hyperlink>
                      <w:r w:rsidRPr="00113355">
                        <w:rPr>
                          <w:rStyle w:val="Hypertextovodkaz"/>
                          <w:rFonts w:ascii="Inter" w:hAnsi="Inter"/>
                          <w:color w:val="2870ED"/>
                          <w:u w:val="none"/>
                          <w:lang w:val="Czech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2C880E34" w14:textId="5A647E53" w:rsidR="00247013" w:rsidRDefault="00247013">
      <w:pPr>
        <w:spacing w:line="240" w:lineRule="auto"/>
        <w:rPr>
          <w:rFonts w:ascii="Inter" w:hAnsi="Inter"/>
          <w:lang w:val="en-US"/>
        </w:rPr>
      </w:pPr>
      <w:r>
        <w:rPr>
          <w:rFonts w:ascii="Inter" w:hAnsi="Inter"/>
        </w:rPr>
        <w:br w:type="page"/>
      </w:r>
    </w:p>
    <w:p w14:paraId="28DBCA16" w14:textId="0785A6A4" w:rsidR="00CC18B8" w:rsidRPr="00426243" w:rsidRDefault="00426243" w:rsidP="009844F9">
      <w:pPr>
        <w:rPr>
          <w:rFonts w:ascii="Inter" w:hAnsi="Inter"/>
          <w:b/>
          <w:bCs/>
          <w:sz w:val="26"/>
          <w:szCs w:val="24"/>
          <w:lang w:val="en-US"/>
        </w:rPr>
      </w:pPr>
      <w:r w:rsidRPr="00426243">
        <w:rPr>
          <w:rFonts w:ascii="Inter" w:hAnsi="Inter"/>
          <w:b/>
          <w:bCs/>
          <w:sz w:val="26"/>
          <w:szCs w:val="24"/>
        </w:rPr>
        <w:lastRenderedPageBreak/>
        <w:t>KLÍČOVÉ FINANČNÍ ÚDAJE ZA OBDOBÍ 1-9/2023</w:t>
      </w:r>
    </w:p>
    <w:p w14:paraId="7CED03B2" w14:textId="77777777" w:rsidR="00426243" w:rsidRDefault="00426243" w:rsidP="009844F9">
      <w:pPr>
        <w:rPr>
          <w:rFonts w:ascii="Inter" w:hAnsi="Inter"/>
          <w:lang w:val="en-US"/>
        </w:rPr>
      </w:pPr>
    </w:p>
    <w:p w14:paraId="2C6AB66E" w14:textId="66FA8A18" w:rsidR="00426243" w:rsidRPr="00A85FA9" w:rsidRDefault="00BC4CCD" w:rsidP="009844F9">
      <w:pPr>
        <w:rPr>
          <w:rFonts w:ascii="Inter" w:hAnsi="Inter"/>
          <w:lang w:val="en-US"/>
        </w:rPr>
      </w:pPr>
      <w:r w:rsidRPr="00BC4CCD">
        <w:rPr>
          <w:noProof/>
        </w:rPr>
        <w:drawing>
          <wp:inline distT="0" distB="0" distL="0" distR="0" wp14:anchorId="68E45329" wp14:editId="1424DBB0">
            <wp:extent cx="5756910" cy="5772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243" w:rsidRPr="00A85FA9" w:rsidSect="00092348">
      <w:headerReference w:type="default" r:id="rId22"/>
      <w:headerReference w:type="first" r:id="rId23"/>
      <w:footerReference w:type="first" r:id="rId24"/>
      <w:pgSz w:w="11900" w:h="16840"/>
      <w:pgMar w:top="2268" w:right="1417" w:bottom="1276" w:left="1417" w:header="42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8AD6" w14:textId="77777777" w:rsidR="00581077" w:rsidRDefault="00581077" w:rsidP="009844F9">
      <w:r>
        <w:separator/>
      </w:r>
    </w:p>
  </w:endnote>
  <w:endnote w:type="continuationSeparator" w:id="0">
    <w:p w14:paraId="3238A292" w14:textId="77777777" w:rsidR="00581077" w:rsidRDefault="00581077" w:rsidP="009844F9">
      <w:r>
        <w:continuationSeparator/>
      </w:r>
    </w:p>
  </w:endnote>
  <w:endnote w:type="continuationNotice" w:id="1">
    <w:p w14:paraId="3651BD43" w14:textId="77777777" w:rsidR="00581077" w:rsidRDefault="005810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charset w:val="00"/>
    <w:family w:val="auto"/>
    <w:pitch w:val="variable"/>
    <w:sig w:usb0="E0000AFF" w:usb1="5200A1FF" w:usb2="00000021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429E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noProof/>
        <w:sz w:val="14"/>
        <w:szCs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DFB38" wp14:editId="48EB4C37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C5EAC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082C" w14:textId="77777777" w:rsidR="00581077" w:rsidRDefault="00581077" w:rsidP="009844F9">
      <w:r>
        <w:separator/>
      </w:r>
    </w:p>
  </w:footnote>
  <w:footnote w:type="continuationSeparator" w:id="0">
    <w:p w14:paraId="3921E371" w14:textId="77777777" w:rsidR="00581077" w:rsidRDefault="00581077" w:rsidP="009844F9">
      <w:r>
        <w:continuationSeparator/>
      </w:r>
    </w:p>
  </w:footnote>
  <w:footnote w:type="continuationNotice" w:id="1">
    <w:p w14:paraId="1CFCE9D9" w14:textId="77777777" w:rsidR="00581077" w:rsidRDefault="005810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39A2" w14:textId="77777777" w:rsidR="00897B52" w:rsidRPr="00E57665" w:rsidRDefault="002B44FF" w:rsidP="0005724A">
    <w:pPr>
      <w:pStyle w:val="Zhlav"/>
    </w:pPr>
    <w:r w:rsidRPr="0066165B">
      <w:rPr>
        <w:noProof/>
        <w:highlight w:val="blue"/>
      </w:rPr>
      <w:drawing>
        <wp:anchor distT="0" distB="0" distL="114300" distR="114300" simplePos="0" relativeHeight="251658243" behindDoc="0" locked="0" layoutInCell="1" allowOverlap="1" wp14:anchorId="02CBF109" wp14:editId="64EA8DE8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noProof/>
        <w:highlight w:val="blue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552DA7F" wp14:editId="2695031E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ounded Rectangle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D8C737" w14:textId="671D12F9" w:rsidR="001D07BC" w:rsidRPr="00F064B6" w:rsidRDefault="00092348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Tisková zpráva</w:t>
                          </w:r>
                          <w:r w:rsidR="001D07BC" w:rsidRPr="00F064B6">
                            <w:rPr>
                              <w:rFonts w:ascii="Inter" w:hAnsi="Inter"/>
                              <w:color w:val="FFFFFF" w:themeColor="background1"/>
                            </w:rPr>
                            <w:br/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Vídeň – 30. října 2023</w:t>
                          </w:r>
                        </w:p>
                        <w:p w14:paraId="005F855E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oundrect id="Rounded Rectangle 589" style="position:absolute;margin-left:33.65pt;margin-top:20.55pt;width:532.9pt;height:59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8" fillcolor="#2870ed" stroked="f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" arcsize="6144f" w14:anchorId="1552DA7F">
              <v:stroke joinstyle="miter"/>
              <v:textbox>
                <w:txbxContent>
                  <w:p w:rsidRPr="00F064B6" w:rsidR="001D07BC" w:rsidP="00962EBC" w:rsidRDefault="00092348" w14:paraId="7DD8C737" w14:textId="671D12F9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  <w:lang w:val="Czech"/>
                      </w:rPr>
                      <w:t>Tisková zpráva</w:t>
                    </w:r>
                    <w:r w:rsidRPr="00F064B6" w:rsidR="001D07BC">
                      <w:rPr>
                        <w:rFonts w:ascii="Inter" w:hAnsi="Inter"/>
                        <w:color w:val="FFFFFF" w:themeColor="background1"/>
                        <w:lang w:val="Czech"/>
                      </w:rPr>
                      <w:br/>
                    </w:r>
                    <w:r w:rsidRPr="00F064B6" w:rsidR="00A85FA9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  <w:lang w:val="Czech"/>
                      </w:rPr>
                      <w:t xml:space="preserve">Vídeň – 30. října 2023</w:t>
                    </w:r>
                  </w:p>
                  <w:p w:rsidRPr="00962EBC" w:rsidR="002B44FF" w:rsidP="001D07BC" w:rsidRDefault="002B44FF" w14:paraId="005F855E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85F0" w14:textId="77777777" w:rsidR="009844F9" w:rsidRDefault="00E67431">
    <w:pPr>
      <w:pStyle w:val="Zhlav"/>
    </w:pPr>
    <w:r w:rsidRPr="00E67431">
      <w:rPr>
        <w:noProof/>
      </w:rPr>
      <w:drawing>
        <wp:anchor distT="0" distB="0" distL="114300" distR="114300" simplePos="0" relativeHeight="251658244" behindDoc="1" locked="0" layoutInCell="1" allowOverlap="1" wp14:anchorId="57AD71DC" wp14:editId="33F5E9C7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Picture 22" descr="P:\01980394\OE0394\OE_ORD\PRESS\E. ADMINISTRATION\Logos\Erste Bank\a_NEUE LOGOs z října 2017\EBSPK_office_external-materi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C163D7F" wp14:editId="7C4238E7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3402367F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53F1702A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7068E6C7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</w:rPr>
                            <w:t>Tisková zpráva</w:t>
                          </w:r>
                        </w:p>
                        <w:p w14:paraId="036A533D" w14:textId="7AA135C7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fldChar w:fldCharType="begin"/>
                          </w:r>
                          <w:r w:rsidRPr="003C10CD">
                            <w:instrText xml:space="preserve"> TIME \@ "d. MMMM yyyy" </w:instrText>
                          </w:r>
                          <w:r w:rsidRPr="003C10CD">
                            <w:fldChar w:fldCharType="separate"/>
                          </w:r>
                          <w:r w:rsidR="0091398C">
                            <w:rPr>
                              <w:noProof/>
                            </w:rPr>
                            <w:t>29. Oktober 2023</w:t>
                          </w:r>
                          <w:r w:rsidRPr="003C10C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163D7F" id="Rectangle 2" o:spid="_x0000_s1029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3402367F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53F1702A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7068E6C7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</w:rPr>
                      <w:t>Tisková zpráva</w:t>
                    </w:r>
                  </w:p>
                  <w:p w14:paraId="036A533D" w14:textId="7AA135C7" w:rsidR="003C10CD" w:rsidRPr="003C10CD" w:rsidRDefault="003C10CD" w:rsidP="00711920">
                    <w:pPr>
                      <w:pStyle w:val="Datum"/>
                    </w:pPr>
                    <w:r w:rsidRPr="003C10CD">
                      <w:fldChar w:fldCharType="begin"/>
                    </w:r>
                    <w:r w:rsidRPr="003C10CD">
                      <w:instrText xml:space="preserve"> TIME \@ "d. MMMM yyyy" </w:instrText>
                    </w:r>
                    <w:r w:rsidRPr="003C10CD">
                      <w:fldChar w:fldCharType="separate"/>
                    </w:r>
                    <w:r w:rsidR="0091398C">
                      <w:rPr>
                        <w:noProof/>
                      </w:rPr>
                      <w:t>29. Oktober 2023</w:t>
                    </w:r>
                    <w:r w:rsidRPr="003C10CD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4B7896E0"/>
    <w:lvl w:ilvl="0" w:tplc="9E0256B2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2870ED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69961">
    <w:abstractNumId w:val="10"/>
  </w:num>
  <w:num w:numId="2" w16cid:durableId="1221793031">
    <w:abstractNumId w:val="13"/>
  </w:num>
  <w:num w:numId="3" w16cid:durableId="1478111353">
    <w:abstractNumId w:val="0"/>
  </w:num>
  <w:num w:numId="4" w16cid:durableId="2067560580">
    <w:abstractNumId w:val="1"/>
  </w:num>
  <w:num w:numId="5" w16cid:durableId="1600142281">
    <w:abstractNumId w:val="2"/>
  </w:num>
  <w:num w:numId="6" w16cid:durableId="1682587157">
    <w:abstractNumId w:val="3"/>
  </w:num>
  <w:num w:numId="7" w16cid:durableId="1686518917">
    <w:abstractNumId w:val="8"/>
  </w:num>
  <w:num w:numId="8" w16cid:durableId="1493181077">
    <w:abstractNumId w:val="4"/>
  </w:num>
  <w:num w:numId="9" w16cid:durableId="948395128">
    <w:abstractNumId w:val="5"/>
  </w:num>
  <w:num w:numId="10" w16cid:durableId="789594900">
    <w:abstractNumId w:val="6"/>
  </w:num>
  <w:num w:numId="11" w16cid:durableId="951281857">
    <w:abstractNumId w:val="7"/>
  </w:num>
  <w:num w:numId="12" w16cid:durableId="1838157133">
    <w:abstractNumId w:val="9"/>
  </w:num>
  <w:num w:numId="13" w16cid:durableId="1164782358">
    <w:abstractNumId w:val="12"/>
  </w:num>
  <w:num w:numId="14" w16cid:durableId="2096049769">
    <w:abstractNumId w:val="14"/>
  </w:num>
  <w:num w:numId="15" w16cid:durableId="40446413">
    <w:abstractNumId w:val="12"/>
    <w:lvlOverride w:ilvl="0">
      <w:startOverride w:val="1"/>
    </w:lvlOverride>
  </w:num>
  <w:num w:numId="16" w16cid:durableId="884027955">
    <w:abstractNumId w:val="12"/>
    <w:lvlOverride w:ilvl="0">
      <w:startOverride w:val="1"/>
    </w:lvlOverride>
  </w:num>
  <w:num w:numId="17" w16cid:durableId="1509907378">
    <w:abstractNumId w:val="12"/>
    <w:lvlOverride w:ilvl="0">
      <w:startOverride w:val="1"/>
    </w:lvlOverride>
  </w:num>
  <w:num w:numId="18" w16cid:durableId="1985888504">
    <w:abstractNumId w:val="16"/>
  </w:num>
  <w:num w:numId="19" w16cid:durableId="1129011313">
    <w:abstractNumId w:val="11"/>
  </w:num>
  <w:num w:numId="20" w16cid:durableId="42755705">
    <w:abstractNumId w:val="15"/>
  </w:num>
  <w:num w:numId="21" w16cid:durableId="13232432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48"/>
    <w:rsid w:val="00004BE4"/>
    <w:rsid w:val="00042EFF"/>
    <w:rsid w:val="0005724A"/>
    <w:rsid w:val="0006375F"/>
    <w:rsid w:val="00067770"/>
    <w:rsid w:val="000741BD"/>
    <w:rsid w:val="00074F7D"/>
    <w:rsid w:val="0007760F"/>
    <w:rsid w:val="00080652"/>
    <w:rsid w:val="0008090D"/>
    <w:rsid w:val="00092348"/>
    <w:rsid w:val="000A402F"/>
    <w:rsid w:val="000A5EF5"/>
    <w:rsid w:val="000B17A5"/>
    <w:rsid w:val="000B70E2"/>
    <w:rsid w:val="000F23A3"/>
    <w:rsid w:val="00113355"/>
    <w:rsid w:val="00117FB4"/>
    <w:rsid w:val="00131718"/>
    <w:rsid w:val="0013227F"/>
    <w:rsid w:val="00151EE2"/>
    <w:rsid w:val="00167E7A"/>
    <w:rsid w:val="00191778"/>
    <w:rsid w:val="0019748B"/>
    <w:rsid w:val="001B097E"/>
    <w:rsid w:val="001C5B42"/>
    <w:rsid w:val="001C6C55"/>
    <w:rsid w:val="001D07BC"/>
    <w:rsid w:val="001D730C"/>
    <w:rsid w:val="001E5EB6"/>
    <w:rsid w:val="001F503A"/>
    <w:rsid w:val="00224C8A"/>
    <w:rsid w:val="0023300A"/>
    <w:rsid w:val="00247013"/>
    <w:rsid w:val="00247AAD"/>
    <w:rsid w:val="00250761"/>
    <w:rsid w:val="002539DD"/>
    <w:rsid w:val="00260790"/>
    <w:rsid w:val="00262E56"/>
    <w:rsid w:val="002661DB"/>
    <w:rsid w:val="00281EBB"/>
    <w:rsid w:val="002A0D59"/>
    <w:rsid w:val="002A220D"/>
    <w:rsid w:val="002A5604"/>
    <w:rsid w:val="002B44FF"/>
    <w:rsid w:val="002B7D0C"/>
    <w:rsid w:val="002C065E"/>
    <w:rsid w:val="002D5D4F"/>
    <w:rsid w:val="002F1CBD"/>
    <w:rsid w:val="002F3D38"/>
    <w:rsid w:val="002F71C4"/>
    <w:rsid w:val="00302879"/>
    <w:rsid w:val="003112DE"/>
    <w:rsid w:val="00312C05"/>
    <w:rsid w:val="00326955"/>
    <w:rsid w:val="00331166"/>
    <w:rsid w:val="0033172B"/>
    <w:rsid w:val="00375A09"/>
    <w:rsid w:val="00380EDD"/>
    <w:rsid w:val="003A2761"/>
    <w:rsid w:val="003B0549"/>
    <w:rsid w:val="003B3C0A"/>
    <w:rsid w:val="003C10CD"/>
    <w:rsid w:val="003D52E0"/>
    <w:rsid w:val="003E7F90"/>
    <w:rsid w:val="003F6E1D"/>
    <w:rsid w:val="00422422"/>
    <w:rsid w:val="00426243"/>
    <w:rsid w:val="004266CA"/>
    <w:rsid w:val="00431C8D"/>
    <w:rsid w:val="00454508"/>
    <w:rsid w:val="00455E1D"/>
    <w:rsid w:val="00496395"/>
    <w:rsid w:val="004F1AB5"/>
    <w:rsid w:val="004F309C"/>
    <w:rsid w:val="00506C14"/>
    <w:rsid w:val="00512320"/>
    <w:rsid w:val="00547A24"/>
    <w:rsid w:val="005503D9"/>
    <w:rsid w:val="00550881"/>
    <w:rsid w:val="005530C3"/>
    <w:rsid w:val="00553F90"/>
    <w:rsid w:val="0056412E"/>
    <w:rsid w:val="00570070"/>
    <w:rsid w:val="00577E8C"/>
    <w:rsid w:val="00581077"/>
    <w:rsid w:val="00584B98"/>
    <w:rsid w:val="00597A2D"/>
    <w:rsid w:val="005A4A85"/>
    <w:rsid w:val="005C34A1"/>
    <w:rsid w:val="005C4407"/>
    <w:rsid w:val="005D155B"/>
    <w:rsid w:val="005D2D7A"/>
    <w:rsid w:val="005D615C"/>
    <w:rsid w:val="005E1A12"/>
    <w:rsid w:val="006066CB"/>
    <w:rsid w:val="00607AA1"/>
    <w:rsid w:val="00616D53"/>
    <w:rsid w:val="00620056"/>
    <w:rsid w:val="00625663"/>
    <w:rsid w:val="00644CC0"/>
    <w:rsid w:val="006454F8"/>
    <w:rsid w:val="0064757E"/>
    <w:rsid w:val="0066165B"/>
    <w:rsid w:val="00664280"/>
    <w:rsid w:val="006859E0"/>
    <w:rsid w:val="0069608C"/>
    <w:rsid w:val="00696908"/>
    <w:rsid w:val="006A3B8A"/>
    <w:rsid w:val="006D58AE"/>
    <w:rsid w:val="006E5BEE"/>
    <w:rsid w:val="00702E66"/>
    <w:rsid w:val="00711920"/>
    <w:rsid w:val="00711D5D"/>
    <w:rsid w:val="007263E4"/>
    <w:rsid w:val="00745D18"/>
    <w:rsid w:val="007571EA"/>
    <w:rsid w:val="00757CC0"/>
    <w:rsid w:val="00762397"/>
    <w:rsid w:val="007711B0"/>
    <w:rsid w:val="00774DE8"/>
    <w:rsid w:val="00774E0D"/>
    <w:rsid w:val="00781C80"/>
    <w:rsid w:val="00785CBB"/>
    <w:rsid w:val="007A12A6"/>
    <w:rsid w:val="007B0952"/>
    <w:rsid w:val="007B23C1"/>
    <w:rsid w:val="007B29CB"/>
    <w:rsid w:val="007B3D66"/>
    <w:rsid w:val="007E7419"/>
    <w:rsid w:val="007F0E63"/>
    <w:rsid w:val="007F45CF"/>
    <w:rsid w:val="007F715F"/>
    <w:rsid w:val="00802339"/>
    <w:rsid w:val="0081072C"/>
    <w:rsid w:val="008568D5"/>
    <w:rsid w:val="0087689A"/>
    <w:rsid w:val="00876EFB"/>
    <w:rsid w:val="008849AD"/>
    <w:rsid w:val="00897B52"/>
    <w:rsid w:val="008A3853"/>
    <w:rsid w:val="008A4E98"/>
    <w:rsid w:val="008A539B"/>
    <w:rsid w:val="008B1EA1"/>
    <w:rsid w:val="008B45AD"/>
    <w:rsid w:val="008F4334"/>
    <w:rsid w:val="008F4B37"/>
    <w:rsid w:val="0091398C"/>
    <w:rsid w:val="009238C5"/>
    <w:rsid w:val="009247A0"/>
    <w:rsid w:val="00951C91"/>
    <w:rsid w:val="00962EBC"/>
    <w:rsid w:val="00981AF3"/>
    <w:rsid w:val="009844F9"/>
    <w:rsid w:val="00992C52"/>
    <w:rsid w:val="009A0D6F"/>
    <w:rsid w:val="009C1ECF"/>
    <w:rsid w:val="009C7387"/>
    <w:rsid w:val="009C7D32"/>
    <w:rsid w:val="009E0111"/>
    <w:rsid w:val="00A00816"/>
    <w:rsid w:val="00A03504"/>
    <w:rsid w:val="00A23F87"/>
    <w:rsid w:val="00A24B0B"/>
    <w:rsid w:val="00A25DAA"/>
    <w:rsid w:val="00A315E1"/>
    <w:rsid w:val="00A3471B"/>
    <w:rsid w:val="00A3785C"/>
    <w:rsid w:val="00A57C24"/>
    <w:rsid w:val="00A6002A"/>
    <w:rsid w:val="00A73770"/>
    <w:rsid w:val="00A85FA9"/>
    <w:rsid w:val="00AA70EA"/>
    <w:rsid w:val="00AB6A13"/>
    <w:rsid w:val="00AC3985"/>
    <w:rsid w:val="00AD12CF"/>
    <w:rsid w:val="00AD6212"/>
    <w:rsid w:val="00AF1580"/>
    <w:rsid w:val="00AF1C38"/>
    <w:rsid w:val="00AF49D2"/>
    <w:rsid w:val="00B07936"/>
    <w:rsid w:val="00B16D68"/>
    <w:rsid w:val="00B42016"/>
    <w:rsid w:val="00B43A94"/>
    <w:rsid w:val="00B90164"/>
    <w:rsid w:val="00B93CEC"/>
    <w:rsid w:val="00BA2B75"/>
    <w:rsid w:val="00BC4CCD"/>
    <w:rsid w:val="00BC5E2E"/>
    <w:rsid w:val="00BF1813"/>
    <w:rsid w:val="00C034FA"/>
    <w:rsid w:val="00C03D95"/>
    <w:rsid w:val="00C16C80"/>
    <w:rsid w:val="00C55766"/>
    <w:rsid w:val="00C56732"/>
    <w:rsid w:val="00C611C3"/>
    <w:rsid w:val="00C668D6"/>
    <w:rsid w:val="00C71EFA"/>
    <w:rsid w:val="00C76836"/>
    <w:rsid w:val="00CC18B8"/>
    <w:rsid w:val="00CC3F85"/>
    <w:rsid w:val="00CC6B55"/>
    <w:rsid w:val="00CD1C04"/>
    <w:rsid w:val="00CF58BD"/>
    <w:rsid w:val="00CF67B6"/>
    <w:rsid w:val="00CF7AA4"/>
    <w:rsid w:val="00D278FB"/>
    <w:rsid w:val="00D3103F"/>
    <w:rsid w:val="00D5042F"/>
    <w:rsid w:val="00D5643A"/>
    <w:rsid w:val="00D71087"/>
    <w:rsid w:val="00D77402"/>
    <w:rsid w:val="00D81B34"/>
    <w:rsid w:val="00D86268"/>
    <w:rsid w:val="00D86B32"/>
    <w:rsid w:val="00D975B2"/>
    <w:rsid w:val="00DC6F1B"/>
    <w:rsid w:val="00DE0432"/>
    <w:rsid w:val="00E02FFC"/>
    <w:rsid w:val="00E271CE"/>
    <w:rsid w:val="00E5507D"/>
    <w:rsid w:val="00E57665"/>
    <w:rsid w:val="00E67431"/>
    <w:rsid w:val="00E837D9"/>
    <w:rsid w:val="00E96186"/>
    <w:rsid w:val="00EA025D"/>
    <w:rsid w:val="00EA3DE1"/>
    <w:rsid w:val="00EA748E"/>
    <w:rsid w:val="00EB0881"/>
    <w:rsid w:val="00EB35BE"/>
    <w:rsid w:val="00EC1274"/>
    <w:rsid w:val="00EC646B"/>
    <w:rsid w:val="00ED59B1"/>
    <w:rsid w:val="00F047C7"/>
    <w:rsid w:val="00F064B6"/>
    <w:rsid w:val="00F56C8E"/>
    <w:rsid w:val="00F62FD2"/>
    <w:rsid w:val="00F643AF"/>
    <w:rsid w:val="00F65DD2"/>
    <w:rsid w:val="00F734F9"/>
    <w:rsid w:val="00F7399E"/>
    <w:rsid w:val="00FA01C6"/>
    <w:rsid w:val="00FB3B2E"/>
    <w:rsid w:val="00FB6F12"/>
    <w:rsid w:val="00FB6F87"/>
    <w:rsid w:val="00FC1F9B"/>
    <w:rsid w:val="00FD2BAF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FB93D"/>
  <w15:chartTrackingRefBased/>
  <w15:docId w15:val="{FE156D49-7A5E-4FDD-8B08-19386D4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color w:val="000000" w:themeColor="text1"/>
      <w:sz w:val="13"/>
      <w:szCs w:val="22"/>
      <w:shd w:val="clear" w:color="auto" w:fill="auto"/>
      <w:lang w:val="en-GB" w:eastAsia="en-US"/>
    </w:rPr>
  </w:style>
  <w:style w:type="character" w:customStyle="1" w:styleId="FettimText">
    <w:name w:val="Fett im Text"/>
    <w:basedOn w:val="Standardnpsmoodstavce"/>
    <w:rsid w:val="00B07936"/>
    <w:rPr>
      <w:rFonts w:ascii="Arial" w:hAnsi="Arial"/>
      <w:b/>
      <w:sz w:val="17"/>
    </w:rPr>
  </w:style>
  <w:style w:type="paragraph" w:styleId="Revize">
    <w:name w:val="Revision"/>
    <w:hidden/>
    <w:uiPriority w:val="99"/>
    <w:semiHidden/>
    <w:rsid w:val="00FF6A8A"/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character" w:styleId="Zstupntext">
    <w:name w:val="Placeholder Text"/>
    <w:basedOn w:val="Standardnpsmoodstavce"/>
    <w:uiPriority w:val="99"/>
    <w:semiHidden/>
    <w:rsid w:val="009139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er.klopf@erstegroup.com" TargetMode="External"/><Relationship Id="rId18" Type="http://schemas.openxmlformats.org/officeDocument/2006/relationships/hyperlink" Target="mailto:peter.klopf@erstegroup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7" Type="http://schemas.openxmlformats.org/officeDocument/2006/relationships/settings" Target="settings.xml"/><Relationship Id="rId12" Type="http://schemas.openxmlformats.org/officeDocument/2006/relationships/hyperlink" Target="mailto:martin.sonn-wende@erstegroup.com" TargetMode="External"/><Relationship Id="rId17" Type="http://schemas.openxmlformats.org/officeDocument/2006/relationships/hyperlink" Target="mailto:martin.sonn-wende@erstegroup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hristian.hromatka@erstegroup.com" TargetMode="External"/><Relationship Id="rId20" Type="http://schemas.openxmlformats.org/officeDocument/2006/relationships/hyperlink" Target="mailto:presse@erstebank.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istian.hromatka@erstegroup.com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presse@erstebank.at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erstegroup.com/en/news-med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rstegroup.com/en/news-med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96243a\Erste%20Group\AT%20Digital%20Content%20Newsroom%20-%20General\Guidelines&amp;Templates\CD%20neu%202022\TEMPLATE_Holding_Press%20Release-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EF6D673F6C444A56AD1A69ED879D5" ma:contentTypeVersion="22" ma:contentTypeDescription="Create a new document." ma:contentTypeScope="" ma:versionID="ed9e2f1cc194d977ae8518ea36e7d35c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04d991342c71c689f7e5293484e5262e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22626B-0D7B-4B5E-A69C-72322EB9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4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TEMPLATE_Holding_Press Release-EN.dotx</Template>
  <TotalTime>54</TotalTime>
  <Pages>4</Pages>
  <Words>1139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Links>
    <vt:vector size="30" baseType="variant">
      <vt:variant>
        <vt:i4>1310774</vt:i4>
      </vt:variant>
      <vt:variant>
        <vt:i4>12</vt:i4>
      </vt:variant>
      <vt:variant>
        <vt:i4>0</vt:i4>
      </vt:variant>
      <vt:variant>
        <vt:i4>5</vt:i4>
      </vt:variant>
      <vt:variant>
        <vt:lpwstr>mailto:presse@erstebank.at</vt:lpwstr>
      </vt:variant>
      <vt:variant>
        <vt:lpwstr/>
      </vt:variant>
      <vt:variant>
        <vt:i4>786444</vt:i4>
      </vt:variant>
      <vt:variant>
        <vt:i4>9</vt:i4>
      </vt:variant>
      <vt:variant>
        <vt:i4>0</vt:i4>
      </vt:variant>
      <vt:variant>
        <vt:i4>5</vt:i4>
      </vt:variant>
      <vt:variant>
        <vt:lpwstr>https://www.erstegroup.com/en/news-media</vt:lpwstr>
      </vt:variant>
      <vt:variant>
        <vt:lpwstr/>
      </vt:variant>
      <vt:variant>
        <vt:i4>4390949</vt:i4>
      </vt:variant>
      <vt:variant>
        <vt:i4>6</vt:i4>
      </vt:variant>
      <vt:variant>
        <vt:i4>0</vt:i4>
      </vt:variant>
      <vt:variant>
        <vt:i4>5</vt:i4>
      </vt:variant>
      <vt:variant>
        <vt:lpwstr>mailto:peter.klopf@erstegroup.com</vt:lpwstr>
      </vt:variant>
      <vt:variant>
        <vt:lpwstr/>
      </vt:variant>
      <vt:variant>
        <vt:i4>7471197</vt:i4>
      </vt:variant>
      <vt:variant>
        <vt:i4>3</vt:i4>
      </vt:variant>
      <vt:variant>
        <vt:i4>0</vt:i4>
      </vt:variant>
      <vt:variant>
        <vt:i4>5</vt:i4>
      </vt:variant>
      <vt:variant>
        <vt:lpwstr>mailto:martin.sonn-wende@erstegroup.com</vt:lpwstr>
      </vt:variant>
      <vt:variant>
        <vt:lpwstr/>
      </vt:variant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mailto:christian.hromatka@erstegroup.com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Aschinger Marvin</dc:creator>
  <cp:keywords/>
  <dc:description/>
  <cp:lastModifiedBy>Bouc František</cp:lastModifiedBy>
  <cp:revision>1</cp:revision>
  <dcterms:created xsi:type="dcterms:W3CDTF">2023-10-27T10:12:00Z</dcterms:created>
  <dcterms:modified xsi:type="dcterms:W3CDTF">2023-10-29T14:09:00Z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ediaServiceImageTags">
    <vt:lpwstr/>
  </property>
  <property fmtid="{D5CDD505-2E9C-101B-9397-08002B2CF9AE}" pid="4" name="MSIP_Label_38939b85-7e40-4a1d-91e1-0e84c3b219d7_Enabled">
    <vt:lpwstr>true</vt:lpwstr>
  </property>
  <property fmtid="{D5CDD505-2E9C-101B-9397-08002B2CF9AE}" pid="5" name="MSIP_Label_38939b85-7e40-4a1d-91e1-0e84c3b219d7_SetDate">
    <vt:lpwstr>2023-10-26T07:38:41Z</vt:lpwstr>
  </property>
  <property fmtid="{D5CDD505-2E9C-101B-9397-08002B2CF9AE}" pid="6" name="MSIP_Label_38939b85-7e40-4a1d-91e1-0e84c3b219d7_Method">
    <vt:lpwstr>Privileged</vt:lpwstr>
  </property>
  <property fmtid="{D5CDD505-2E9C-101B-9397-08002B2CF9AE}" pid="7" name="MSIP_Label_38939b85-7e40-4a1d-91e1-0e84c3b219d7_Name">
    <vt:lpwstr>38939b85-7e40-4a1d-91e1-0e84c3b219d7</vt:lpwstr>
  </property>
  <property fmtid="{D5CDD505-2E9C-101B-9397-08002B2CF9AE}" pid="8" name="MSIP_Label_38939b85-7e40-4a1d-91e1-0e84c3b219d7_SiteId">
    <vt:lpwstr>3ad0376a-54d3-49a6-9e20-52de0a92fc89</vt:lpwstr>
  </property>
  <property fmtid="{D5CDD505-2E9C-101B-9397-08002B2CF9AE}" pid="9" name="MSIP_Label_38939b85-7e40-4a1d-91e1-0e84c3b219d7_ActionId">
    <vt:lpwstr>4ea7e129-8015-4c13-8b39-d95537ec838d</vt:lpwstr>
  </property>
  <property fmtid="{D5CDD505-2E9C-101B-9397-08002B2CF9AE}" pid="10" name="MSIP_Label_38939b85-7e40-4a1d-91e1-0e84c3b219d7_ContentBits">
    <vt:lpwstr>0</vt:lpwstr>
  </property>
</Properties>
</file>